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2023-2024学年度第一学期高一化学期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末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考试试卷分析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 xml:space="preserve">江苏省溧阳中学      </w:t>
      </w:r>
      <w:r>
        <w:rPr>
          <w:rFonts w:hint="eastAsia" w:ascii="仿宋" w:hAnsi="仿宋" w:eastAsia="仿宋" w:cs="仿宋"/>
          <w:lang w:val="en-US" w:eastAsia="zh-CN"/>
        </w:rPr>
        <w:t>朱礼枭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一、试卷结构与内容分析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1. 试卷结构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本次</w:t>
      </w:r>
      <w:r>
        <w:rPr>
          <w:rFonts w:hint="eastAsia" w:ascii="Times New Roman" w:hAnsi="Times New Roman" w:cs="Times New Roman"/>
          <w:lang w:val="en-US" w:eastAsia="zh-CN"/>
        </w:rPr>
        <w:t>考试</w:t>
      </w:r>
      <w:r>
        <w:rPr>
          <w:rFonts w:hint="default" w:ascii="Times New Roman" w:hAnsi="Times New Roman" w:eastAsia="宋体" w:cs="Times New Roman"/>
          <w:lang w:val="en-US" w:eastAsia="zh-CN"/>
        </w:rPr>
        <w:t>试题共分为Ⅰ、Ⅱ两卷，共1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lang w:val="en-US" w:eastAsia="zh-CN"/>
        </w:rPr>
        <w:t>题，其中</w:t>
      </w:r>
      <w:r>
        <w:rPr>
          <w:rFonts w:hint="eastAsia" w:ascii="Times New Roman" w:hAnsi="Times New Roman" w:cs="Times New Roman"/>
          <w:lang w:val="en-US" w:eastAsia="zh-CN"/>
        </w:rPr>
        <w:t>Ⅰ卷包括的</w:t>
      </w:r>
      <w:r>
        <w:rPr>
          <w:rFonts w:hint="default" w:ascii="Times New Roman" w:hAnsi="Times New Roman" w:eastAsia="宋体" w:cs="Times New Roman"/>
          <w:lang w:val="en-US" w:eastAsia="zh-CN"/>
        </w:rPr>
        <w:t>1-1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题为</w:t>
      </w:r>
      <w:r>
        <w:rPr>
          <w:rFonts w:hint="eastAsia" w:ascii="Times New Roman" w:hAnsi="Times New Roman" w:cs="Times New Roman"/>
          <w:lang w:val="en-US" w:eastAsia="zh-CN"/>
        </w:rPr>
        <w:t>单项</w:t>
      </w:r>
      <w:r>
        <w:rPr>
          <w:rFonts w:hint="default" w:ascii="Times New Roman" w:hAnsi="Times New Roman" w:eastAsia="宋体" w:cs="Times New Roman"/>
          <w:lang w:val="en-US" w:eastAsia="zh-CN"/>
        </w:rPr>
        <w:t>选择题，分值</w:t>
      </w:r>
      <w:r>
        <w:rPr>
          <w:rFonts w:hint="eastAsia" w:ascii="Times New Roman" w:hAnsi="Times New Roman" w:cs="Times New Roman"/>
          <w:lang w:val="en-US" w:eastAsia="zh-CN"/>
        </w:rPr>
        <w:t>39</w:t>
      </w:r>
      <w:r>
        <w:rPr>
          <w:rFonts w:hint="default" w:ascii="Times New Roman" w:hAnsi="Times New Roman" w:eastAsia="宋体" w:cs="Times New Roman"/>
          <w:lang w:val="en-US" w:eastAsia="zh-CN"/>
        </w:rPr>
        <w:t>分；</w:t>
      </w:r>
      <w:r>
        <w:rPr>
          <w:rFonts w:hint="eastAsia" w:ascii="Times New Roman" w:hAnsi="Times New Roman" w:cs="Times New Roman"/>
          <w:lang w:val="en-US" w:eastAsia="zh-CN"/>
        </w:rPr>
        <w:t>Ⅱ卷的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lang w:val="en-US" w:eastAsia="zh-CN"/>
        </w:rPr>
        <w:t>-</w:t>
      </w:r>
      <w:r>
        <w:rPr>
          <w:rFonts w:hint="eastAsia" w:ascii="Times New Roman" w:hAnsi="Times New Roman" w:cs="Times New Roman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lang w:val="en-US" w:eastAsia="zh-CN"/>
        </w:rPr>
        <w:t>题为主观题，分值</w:t>
      </w:r>
      <w:r>
        <w:rPr>
          <w:rFonts w:hint="default" w:ascii="Times New Roman" w:hAnsi="Times New Roman" w:cs="Times New Roman"/>
          <w:lang w:val="en-US" w:eastAsia="zh-CN"/>
        </w:rPr>
        <w:t>为61</w:t>
      </w:r>
      <w:r>
        <w:rPr>
          <w:rFonts w:hint="default" w:ascii="Times New Roman" w:hAnsi="Times New Roman" w:eastAsia="宋体" w:cs="Times New Roman"/>
          <w:lang w:val="en-US" w:eastAsia="zh-CN"/>
        </w:rPr>
        <w:t>分</w:t>
      </w:r>
      <w:r>
        <w:rPr>
          <w:rFonts w:hint="default" w:ascii="Times New Roman" w:hAnsi="Times New Roman" w:cs="Times New Roman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lang w:val="en-US" w:eastAsia="zh-CN"/>
        </w:rPr>
        <w:t>全卷共</w:t>
      </w:r>
      <w:r>
        <w:rPr>
          <w:rFonts w:hint="eastAsia" w:ascii="Times New Roman" w:hAnsi="Times New Roman" w:cs="Times New Roman"/>
          <w:lang w:val="en-US" w:eastAsia="zh-CN"/>
        </w:rPr>
        <w:t>8页</w:t>
      </w:r>
      <w:r>
        <w:rPr>
          <w:rFonts w:hint="default" w:ascii="Times New Roman" w:hAnsi="Times New Roman" w:eastAsia="宋体" w:cs="Times New Roman"/>
          <w:lang w:val="en-US" w:eastAsia="zh-CN"/>
        </w:rPr>
        <w:t>，图表</w:t>
      </w:r>
      <w:r>
        <w:rPr>
          <w:rFonts w:hint="eastAsia" w:ascii="Times New Roman" w:hAnsi="Times New Roman" w:cs="Times New Roman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lang w:val="en-US" w:eastAsia="zh-CN"/>
        </w:rPr>
        <w:t>幅，整体结构比较合理，难度中</w:t>
      </w:r>
      <w:r>
        <w:rPr>
          <w:rFonts w:hint="eastAsia" w:ascii="Times New Roman" w:hAnsi="Times New Roman" w:cs="Times New Roman"/>
          <w:lang w:val="en-US" w:eastAsia="zh-CN"/>
        </w:rPr>
        <w:t>等偏上</w:t>
      </w:r>
      <w:r>
        <w:rPr>
          <w:rFonts w:hint="default" w:ascii="Times New Roman" w:hAnsi="Times New Roman" w:eastAsia="宋体" w:cs="Times New Roman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0" w:leftChars="0" w:firstLineChars="0"/>
        <w:jc w:val="both"/>
        <w:textAlignment w:val="auto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知识点覆盖情况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本次考试范围涵盖苏教版高中化学必修一5个专题的内容，具体覆盖的情况如下：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01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专题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试题题号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专题1：物质的分类及计量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物质及其反应的分类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物质的化学计量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物质的分散系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1、11、15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专题2：研究物质的基本方法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研究物质的实验方法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11、17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溶液组成的定量研究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人类对原子结构的认识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2、7、14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专题3：从海水中获得的化学物质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氯气及氯的化合物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金属钠及钠的化合物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3、6、8、9、10、12、13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海洋化学资源的综合利用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专题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： 硫与环境保护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含硫化合物的性质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8、10、16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硫及其化合物的相互转化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6、8、12、15、17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防治二氧化硫对环境的污染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专题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：微观结构与物质的多样性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元素周期律和元素周期表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4、14、15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微粒之间的相互作用力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2、11、14、15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从微观结构看物质的多样性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1、2、10、12、14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从总体情况看，试题结构、题型和数量比较稳定适中，素材和情境选取相对新颖，信息呈现和提问角度符合高一学生认知能力范围，展现了新高考模式下对化学学科核心素养的关注，对今后的教学和评价起到良好的导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二、学生作答情况</w:t>
      </w:r>
    </w:p>
    <w:tbl>
      <w:tblPr>
        <w:tblStyle w:val="4"/>
        <w:tblpPr w:leftFromText="180" w:rightFromText="180" w:vertAnchor="text" w:horzAnchor="page" w:tblpX="3449" w:tblpY="28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79"/>
        <w:gridCol w:w="516"/>
        <w:gridCol w:w="679"/>
        <w:gridCol w:w="516"/>
        <w:gridCol w:w="679"/>
        <w:gridCol w:w="516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总人数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平均分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分值</w:t>
            </w:r>
            <w:r>
              <w:rPr>
                <w:rStyle w:val="9"/>
                <w:rFonts w:hint="default" w:ascii="Times New Roman" w:hAnsi="Times New Roman" w:eastAsia="宋体" w:cs="Times New Roman"/>
                <w:sz w:val="15"/>
                <w:szCs w:val="15"/>
                <w:lang w:val="en-US" w:eastAsia="zh-CN" w:bidi="ar"/>
              </w:rPr>
              <w:t>≥90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分值</w:t>
            </w:r>
            <w:r>
              <w:rPr>
                <w:rStyle w:val="9"/>
                <w:rFonts w:hint="default" w:ascii="Times New Roman" w:hAnsi="Times New Roman" w:eastAsia="宋体" w:cs="Times New Roman"/>
                <w:sz w:val="15"/>
                <w:szCs w:val="15"/>
                <w:lang w:val="en-US" w:eastAsia="zh-CN" w:bidi="ar"/>
              </w:rPr>
              <w:t>≥80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分值</w:t>
            </w:r>
            <w:r>
              <w:rPr>
                <w:rStyle w:val="9"/>
                <w:rFonts w:hint="default" w:ascii="Times New Roman" w:hAnsi="Times New Roman" w:eastAsia="宋体" w:cs="Times New Roman"/>
                <w:sz w:val="15"/>
                <w:szCs w:val="15"/>
                <w:lang w:val="en-US" w:eastAsia="zh-CN" w:bidi="ar"/>
              </w:rPr>
              <w:t>≥70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百分比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百分比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15.24%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分值</w:t>
            </w:r>
            <w:r>
              <w:rPr>
                <w:rStyle w:val="9"/>
                <w:rFonts w:hint="default" w:ascii="Times New Roman" w:hAnsi="Times New Roman" w:eastAsia="宋体" w:cs="Times New Roman"/>
                <w:sz w:val="15"/>
                <w:szCs w:val="15"/>
                <w:lang w:val="en-US" w:eastAsia="zh-CN" w:bidi="ar"/>
              </w:rPr>
              <w:t>≥60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分值</w:t>
            </w:r>
            <w:r>
              <w:rPr>
                <w:rStyle w:val="9"/>
                <w:rFonts w:hint="default" w:ascii="Times New Roman" w:hAnsi="Times New Roman" w:eastAsia="宋体" w:cs="Times New Roman"/>
                <w:sz w:val="15"/>
                <w:szCs w:val="15"/>
                <w:lang w:val="en-US" w:eastAsia="zh-CN" w:bidi="ar"/>
              </w:rPr>
              <w:t>≥50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分值</w:t>
            </w:r>
            <w:r>
              <w:rPr>
                <w:rStyle w:val="9"/>
                <w:rFonts w:hint="default" w:ascii="Times New Roman" w:hAnsi="Times New Roman" w:eastAsia="宋体" w:cs="Times New Roman"/>
                <w:sz w:val="15"/>
                <w:szCs w:val="15"/>
                <w:lang w:val="en-US" w:eastAsia="zh-CN" w:bidi="ar"/>
              </w:rPr>
              <w:t>≥40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分值</w:t>
            </w:r>
            <w:r>
              <w:rPr>
                <w:rStyle w:val="9"/>
                <w:rFonts w:hint="default" w:ascii="Times New Roman" w:hAnsi="Times New Roman" w:eastAsia="宋体" w:cs="Times New Roman"/>
                <w:sz w:val="15"/>
                <w:szCs w:val="15"/>
                <w:lang w:val="en-US" w:eastAsia="zh-CN" w:bidi="ar"/>
              </w:rPr>
              <w:t>≤40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百分比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百分比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百分比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5"/>
                <w:szCs w:val="15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63.34%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19.75%</w:t>
            </w:r>
          </w:p>
        </w:tc>
      </w:tr>
    </w:tbl>
    <w:p>
      <w:pPr>
        <w:bidi w:val="0"/>
        <w:ind w:firstLine="766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766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766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766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766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766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766" w:firstLineChars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172085</wp:posOffset>
            </wp:positionV>
            <wp:extent cx="3777615" cy="2718435"/>
            <wp:effectExtent l="0" t="0" r="0" b="0"/>
            <wp:wrapTight wrapText="bothSides">
              <wp:wrapPolygon>
                <wp:start x="2905" y="404"/>
                <wp:lineTo x="1743" y="1211"/>
                <wp:lineTo x="1743" y="1917"/>
                <wp:lineTo x="2977" y="2018"/>
                <wp:lineTo x="1743" y="3633"/>
                <wp:lineTo x="1743" y="4238"/>
                <wp:lineTo x="2469" y="5247"/>
                <wp:lineTo x="2977" y="5247"/>
                <wp:lineTo x="1743" y="6055"/>
                <wp:lineTo x="1743" y="6761"/>
                <wp:lineTo x="2977" y="6862"/>
                <wp:lineTo x="726" y="7770"/>
                <wp:lineTo x="73" y="8174"/>
                <wp:lineTo x="73" y="9082"/>
                <wp:lineTo x="290" y="10091"/>
                <wp:lineTo x="2977" y="10091"/>
                <wp:lineTo x="1743" y="10898"/>
                <wp:lineTo x="1743" y="11605"/>
                <wp:lineTo x="2977" y="11706"/>
                <wp:lineTo x="1670" y="13320"/>
                <wp:lineTo x="1670" y="13825"/>
                <wp:lineTo x="2542" y="14935"/>
                <wp:lineTo x="2905" y="14935"/>
                <wp:lineTo x="2033" y="15742"/>
                <wp:lineTo x="2033" y="16448"/>
                <wp:lineTo x="2977" y="16549"/>
                <wp:lineTo x="2977" y="18164"/>
                <wp:lineTo x="2324" y="18164"/>
                <wp:lineTo x="2614" y="19779"/>
                <wp:lineTo x="10747" y="19779"/>
                <wp:lineTo x="11038" y="21393"/>
                <wp:lineTo x="12708" y="21393"/>
                <wp:lineTo x="12853" y="20485"/>
                <wp:lineTo x="12345" y="20182"/>
                <wp:lineTo x="10747" y="19779"/>
                <wp:lineTo x="18808" y="19779"/>
                <wp:lineTo x="21204" y="19375"/>
                <wp:lineTo x="21059" y="404"/>
                <wp:lineTo x="2905" y="404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4532" t="10136" r="4532" b="4453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2503" w:tblpY="237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平均分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得分率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69.41%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67.69%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64.33%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48.28%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55.16%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平均分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得分率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48.65%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45.47%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63.43%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63.30%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60.51%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27.27%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</w:t>
      </w:r>
      <w:r>
        <w:rPr>
          <w:rFonts w:hint="default"/>
          <w:lang w:val="en-US" w:eastAsia="zh-CN"/>
        </w:rPr>
        <w:t>据阅卷情况统计，</w:t>
      </w:r>
      <w:r>
        <w:rPr>
          <w:rFonts w:hint="default" w:ascii="Times New Roman" w:hAnsi="Times New Roman" w:eastAsia="宋体" w:cs="Times New Roman"/>
          <w:lang w:val="en-US" w:eastAsia="zh-CN"/>
        </w:rPr>
        <w:t>全市化学平均分5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lang w:val="en-US" w:eastAsia="zh-CN"/>
        </w:rPr>
        <w:t>.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lang w:val="en-US" w:eastAsia="zh-CN"/>
        </w:rPr>
        <w:t>6分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难度中</w:t>
      </w:r>
      <w:r>
        <w:rPr>
          <w:rFonts w:hint="eastAsia" w:ascii="Times New Roman" w:hAnsi="Times New Roman" w:cs="Times New Roman"/>
          <w:lang w:val="en-US" w:eastAsia="zh-CN"/>
        </w:rPr>
        <w:t>等偏上，</w:t>
      </w:r>
      <w:r>
        <w:rPr>
          <w:rFonts w:hint="default"/>
          <w:lang w:val="en-US" w:eastAsia="zh-CN"/>
        </w:rPr>
        <w:t>现将考卷中出现的共性问题列举如下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选择题部分前7题学生作答情况较好，8-13题均分较低</w:t>
      </w:r>
      <w:r>
        <w:rPr>
          <w:rFonts w:hint="eastAsia" w:ascii="Times New Roman" w:hAnsi="Times New Roman" w:cs="Times New Roman"/>
          <w:lang w:val="en-US" w:eastAsia="zh-CN"/>
        </w:rPr>
        <w:t>，说明学生对于与离子反应相关的如离子共存类问题、离子反应方程式书写等知识的掌握上尚有欠缺。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客观题部分14题总体作答情况较好，其中（3）题用电子式表示HBr的形成过程，作答的正确率很低，错误集中于原子与分子的电子式的书写、形成过程的箭头的正确表示。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15题（1）（2）①较为简单，基本无失分；（2）②题只有少部分学生没有注意题干所给信息；（2）②题学生失分较多，大部分学生不能分析题目所给信息；（3）题学生作答问题在于不能分清氢键和化学键区别；（4）题主要错误集中于产物中氮元素的化合价标注错误，导致双线桥绘制错误，得失电子标注不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16题学生作答问题集中于（2）中学生不能理解图像含义，产生错答。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42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17题（1）有两个答案，很多学生只能写一个，另外100mL容量瓶的规格也未写。（2）题得分率很低，大部分学生不能审清题意，所写的反应产物是ClO</w:t>
      </w:r>
      <w:r>
        <w:rPr>
          <w:rFonts w:hint="default" w:ascii="Times New Roman" w:hAnsi="Times New Roman" w:cs="Times New Roman"/>
          <w:vertAlign w:val="superscript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而不是ClO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vertAlign w:val="superscript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，（3）题的学生答案大部分有缺失，只能写出回收HCl和I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中的一种，防止污染空气的答案基本都不能写出。（4）题计算题正确率很高，但也有部分答卷此题空白，未作答。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42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除此，考生化学核心概念不清、化学用语运用不规范（元素符号、化学式及化学方程式的书写等）、化学术语词不达意、错字别字常现、低级失误频出……很</w:t>
      </w:r>
      <w:r>
        <w:rPr>
          <w:rFonts w:hint="eastAsia" w:ascii="Times New Roman" w:hAnsi="Times New Roman" w:cs="Times New Roman"/>
          <w:lang w:val="en-US" w:eastAsia="zh-CN"/>
        </w:rPr>
        <w:t>大</w:t>
      </w:r>
      <w:r>
        <w:rPr>
          <w:rFonts w:hint="default" w:ascii="Times New Roman" w:hAnsi="Times New Roman" w:cs="Times New Roman"/>
          <w:lang w:val="en-US" w:eastAsia="zh-CN"/>
        </w:rPr>
        <w:t>程度上影响了学生成绩。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三、教学建议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黑体" w:cs="Times New Roman"/>
          <w:lang w:val="en-US" w:eastAsia="zh-CN"/>
        </w:rPr>
        <w:t>夯实基础，强化必备知识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高中化学必备知识包含化学用语与概念、理化变化与反应规律、性质与应用、实验操作与设计、实验原理与方法五个维度进行构建。扎实牢靠的基础知识是学生求真理、悟道理、明事理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-US" w:eastAsia="zh-CN"/>
        </w:rPr>
        <w:t>坚实基础，这在任何一次测试与复习中都是立足之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也是复习备考的核心所在。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 xml:space="preserve">2. </w:t>
      </w:r>
      <w:r>
        <w:rPr>
          <w:rFonts w:hint="default" w:ascii="Times New Roman" w:hAnsi="Times New Roman" w:eastAsia="黑体" w:cs="Times New Roman"/>
          <w:lang w:val="en-US" w:eastAsia="zh-CN"/>
        </w:rPr>
        <w:t>创设情</w:t>
      </w:r>
      <w:r>
        <w:rPr>
          <w:rFonts w:hint="eastAsia" w:ascii="Times New Roman" w:hAnsi="Times New Roman" w:eastAsia="黑体" w:cs="Times New Roman"/>
          <w:lang w:val="en-US" w:eastAsia="zh-CN"/>
        </w:rPr>
        <w:t>境</w:t>
      </w:r>
      <w:r>
        <w:rPr>
          <w:rFonts w:hint="default" w:ascii="Times New Roman" w:hAnsi="Times New Roman" w:eastAsia="黑体" w:cs="Times New Roman"/>
          <w:lang w:val="en-US" w:eastAsia="zh-CN"/>
        </w:rPr>
        <w:t>，构筑核心素养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知识与素养之间需要搭建</w:t>
      </w:r>
      <w:r>
        <w:rPr>
          <w:rFonts w:hint="eastAsia" w:ascii="Times New Roman" w:hAnsi="Times New Roman" w:cs="Times New Roman"/>
          <w:lang w:val="en-US" w:eastAsia="zh-CN"/>
        </w:rPr>
        <w:t>“</w:t>
      </w:r>
      <w:r>
        <w:rPr>
          <w:rFonts w:hint="default" w:ascii="Times New Roman" w:hAnsi="Times New Roman" w:cs="Times New Roman"/>
          <w:lang w:val="en-US" w:eastAsia="zh-CN"/>
        </w:rPr>
        <w:t>情</w:t>
      </w:r>
      <w:r>
        <w:rPr>
          <w:rFonts w:hint="eastAsia" w:ascii="Times New Roman" w:hAnsi="Times New Roman" w:cs="Times New Roman"/>
          <w:lang w:val="en-US" w:eastAsia="zh-CN"/>
        </w:rPr>
        <w:t>境”</w:t>
      </w:r>
      <w:r>
        <w:rPr>
          <w:rFonts w:hint="default" w:ascii="Times New Roman" w:hAnsi="Times New Roman" w:cs="Times New Roman"/>
          <w:lang w:val="en-US" w:eastAsia="zh-CN"/>
        </w:rPr>
        <w:t>的桥梁，方可让学生从此岸到彼岸，而</w:t>
      </w:r>
      <w:r>
        <w:rPr>
          <w:rFonts w:hint="eastAsia" w:ascii="Times New Roman" w:hAnsi="Times New Roman" w:cs="Times New Roman"/>
          <w:lang w:val="en-US" w:eastAsia="zh-CN"/>
        </w:rPr>
        <w:t>考试</w:t>
      </w:r>
      <w:r>
        <w:rPr>
          <w:rFonts w:hint="default" w:ascii="Times New Roman" w:hAnsi="Times New Roman" w:cs="Times New Roman"/>
          <w:lang w:val="en-US" w:eastAsia="zh-CN"/>
        </w:rPr>
        <w:t>也是一个</w:t>
      </w:r>
      <w:r>
        <w:rPr>
          <w:rFonts w:hint="eastAsia" w:ascii="Times New Roman" w:hAnsi="Times New Roman" w:cs="Times New Roman"/>
          <w:lang w:val="en-US" w:eastAsia="zh-CN"/>
        </w:rPr>
        <w:t>“</w:t>
      </w:r>
      <w:r>
        <w:rPr>
          <w:rFonts w:hint="default" w:ascii="Times New Roman" w:hAnsi="Times New Roman" w:cs="Times New Roman"/>
          <w:lang w:val="en-US" w:eastAsia="zh-CN"/>
        </w:rPr>
        <w:t>情</w:t>
      </w:r>
      <w:r>
        <w:rPr>
          <w:rFonts w:hint="eastAsia" w:ascii="Times New Roman" w:hAnsi="Times New Roman" w:cs="Times New Roman"/>
          <w:lang w:val="en-US" w:eastAsia="zh-CN"/>
        </w:rPr>
        <w:t>境”</w:t>
      </w:r>
      <w:r>
        <w:rPr>
          <w:rFonts w:hint="default" w:ascii="Times New Roman" w:hAnsi="Times New Roman" w:cs="Times New Roman"/>
          <w:lang w:val="en-US" w:eastAsia="zh-CN"/>
        </w:rPr>
        <w:t>，因此核心素养在试卷中的具体体现就是问题解决的能力，这种能力决定了学生不仅要学习基础知识和基本技能，还需要习得解决问题的方法、步骤和意志，方能远离</w:t>
      </w:r>
      <w:r>
        <w:rPr>
          <w:rFonts w:hint="eastAsia" w:ascii="Times New Roman" w:hAnsi="Times New Roman" w:cs="Times New Roman"/>
          <w:lang w:val="en-US" w:eastAsia="zh-CN"/>
        </w:rPr>
        <w:t>“</w:t>
      </w:r>
      <w:r>
        <w:rPr>
          <w:rFonts w:hint="default" w:ascii="Times New Roman" w:hAnsi="Times New Roman" w:cs="Times New Roman"/>
          <w:lang w:val="en-US" w:eastAsia="zh-CN"/>
        </w:rPr>
        <w:t>一讲就懂、一做就错、一考就倒</w:t>
      </w:r>
      <w:r>
        <w:rPr>
          <w:rFonts w:hint="eastAsia" w:ascii="Times New Roman" w:hAnsi="Times New Roman" w:cs="Times New Roman"/>
          <w:lang w:val="en-US" w:eastAsia="zh-CN"/>
        </w:rPr>
        <w:t>”</w:t>
      </w:r>
      <w:r>
        <w:rPr>
          <w:rFonts w:hint="default" w:ascii="Times New Roman" w:hAnsi="Times New Roman" w:cs="Times New Roman"/>
          <w:lang w:val="en-US" w:eastAsia="zh-CN"/>
        </w:rPr>
        <w:t>的噩梦。简单的情</w:t>
      </w:r>
      <w:r>
        <w:rPr>
          <w:rFonts w:hint="eastAsia" w:ascii="Times New Roman" w:hAnsi="Times New Roman" w:cs="Times New Roman"/>
          <w:lang w:val="en-US" w:eastAsia="zh-CN"/>
        </w:rPr>
        <w:t>境</w:t>
      </w:r>
      <w:r>
        <w:rPr>
          <w:rFonts w:hint="default" w:ascii="Times New Roman" w:hAnsi="Times New Roman" w:cs="Times New Roman"/>
          <w:lang w:val="en-US" w:eastAsia="zh-CN"/>
        </w:rPr>
        <w:t>有利于概念的形成，但概念的迁移、知识的应用、能力的提升却不是教师的讲授可以一力承担的。由于真实情境的复杂性，很少有按部就班就能解决的问题，因此，教学中应尽量为学生提供真实或接近真实的学习情境，帮助他们掌握解决问题所需要的各种技能，培养他们各方面的能力，如：信息获取能力、运用表格图像甚至各种媒体的能力、设计实验与消除安全隐患的能力，交流与表达的能力、反思与改进的能力等等，从而推动关键能力与核心素养的真正落实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舒体">
    <w:panose1 w:val="0201060001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Y2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823A3"/>
    <w:multiLevelType w:val="singleLevel"/>
    <w:tmpl w:val="E03823A3"/>
    <w:lvl w:ilvl="0" w:tentative="0">
      <w:start w:val="2"/>
      <w:numFmt w:val="decimal"/>
      <w:suff w:val="space"/>
      <w:lvlText w:val="%1."/>
      <w:lvlJc w:val="left"/>
      <w:pPr>
        <w:ind w:left="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TBmOGExNjkzMGE4ZDNlODBmNjk4ODJlMzZjMzMifQ=="/>
  </w:docVars>
  <w:rsids>
    <w:rsidRoot w:val="296A2FF9"/>
    <w:rsid w:val="296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2024-01-25T10:17:00Z</dcterms:created>
  <dc:creator>啦啦啦</dc:creator>
  <cp:lastModifiedBy>啦啦啦</cp:lastModifiedBy>
  <dcterms:modified xsi:type="dcterms:W3CDTF">2024-01-27T09:29:42Z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5188BD254D314175940A8A35CD4D8929_11</vt:lpwstr>
  </property>
</Properties>
</file>