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sz w:val="30"/>
          <w:szCs w:val="30"/>
        </w:rPr>
      </w:pPr>
      <w:r>
        <w:rPr>
          <w:rFonts w:hint="eastAsia" w:ascii="方正小标宋简体" w:hAnsi="黑体" w:eastAsia="方正小标宋简体"/>
          <w:b/>
          <w:sz w:val="30"/>
          <w:szCs w:val="30"/>
        </w:rPr>
        <w:t>小学阶段学业质量监测</w:t>
      </w:r>
      <w:r>
        <w:rPr>
          <w:rFonts w:hint="eastAsia" w:ascii="方正小标宋简体" w:hAnsi="黑体" w:eastAsia="方正小标宋简体"/>
          <w:b/>
          <w:sz w:val="30"/>
          <w:szCs w:val="30"/>
          <w:u w:val="single"/>
        </w:rPr>
        <w:t xml:space="preserve">   </w:t>
      </w:r>
      <w:r>
        <w:rPr>
          <w:rFonts w:hint="eastAsia" w:ascii="方正小标宋简体" w:hAnsi="黑体" w:eastAsia="方正小标宋简体"/>
          <w:b/>
          <w:sz w:val="30"/>
          <w:szCs w:val="30"/>
          <w:u w:val="single"/>
          <w:lang w:val="en-US" w:eastAsia="zh-Hans"/>
        </w:rPr>
        <w:t>四</w:t>
      </w:r>
      <w:r>
        <w:rPr>
          <w:rFonts w:hint="default" w:ascii="方正小标宋简体" w:hAnsi="黑体" w:eastAsia="方正小标宋简体"/>
          <w:b/>
          <w:sz w:val="30"/>
          <w:szCs w:val="30"/>
          <w:u w:val="single"/>
        </w:rPr>
        <w:t>年级语文</w:t>
      </w:r>
      <w:r>
        <w:rPr>
          <w:rFonts w:hint="eastAsia" w:ascii="方正小标宋简体" w:hAnsi="黑体" w:eastAsia="方正小标宋简体"/>
          <w:b/>
          <w:sz w:val="30"/>
          <w:szCs w:val="30"/>
          <w:u w:val="single"/>
        </w:rPr>
        <w:t xml:space="preserve">  </w:t>
      </w:r>
      <w:r>
        <w:rPr>
          <w:rFonts w:hint="eastAsia" w:ascii="方正小标宋简体" w:hAnsi="黑体" w:eastAsia="方正小标宋简体"/>
          <w:b/>
          <w:sz w:val="30"/>
          <w:szCs w:val="30"/>
        </w:rPr>
        <w:t>学科质量分析</w:t>
      </w:r>
    </w:p>
    <w:p>
      <w:pPr>
        <w:jc w:val="center"/>
        <w:rPr>
          <w:rFonts w:ascii="方正小标宋简体" w:hAnsi="黑体" w:eastAsia="方正小标宋简体"/>
          <w:b/>
          <w:sz w:val="30"/>
          <w:szCs w:val="30"/>
          <w:u w:val="single"/>
        </w:rPr>
      </w:pPr>
      <w:r>
        <w:rPr>
          <w:rFonts w:ascii="方正小标宋简体" w:hAnsi="黑体" w:eastAsia="方正小标宋简体"/>
          <w:b/>
          <w:sz w:val="30"/>
          <w:szCs w:val="30"/>
          <w:u w:val="single"/>
        </w:rPr>
        <w:t>昆仑</w:t>
      </w:r>
      <w:r>
        <w:rPr>
          <w:rFonts w:hint="eastAsia" w:ascii="方正小标宋简体" w:hAnsi="黑体" w:eastAsia="方正小标宋简体"/>
          <w:b/>
          <w:sz w:val="30"/>
          <w:szCs w:val="30"/>
          <w:u w:val="single"/>
        </w:rPr>
        <w:t>小学</w:t>
      </w:r>
    </w:p>
    <w:p>
      <w:pPr>
        <w:pStyle w:val="4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hint="eastAsia" w:ascii="Times New Roman" w:hAnsi="宋体"/>
          <w:sz w:val="24"/>
          <w:szCs w:val="24"/>
        </w:rPr>
        <w:t>参</w:t>
      </w:r>
      <w:r>
        <w:rPr>
          <w:rFonts w:ascii="Times New Roman" w:hAnsi="宋体"/>
          <w:sz w:val="24"/>
          <w:szCs w:val="24"/>
        </w:rPr>
        <w:t>测班级：</w:t>
      </w:r>
      <w:r>
        <w:rPr>
          <w:rFonts w:hint="eastAsia" w:ascii="Times New Roman" w:hAnsi="宋体"/>
          <w:sz w:val="24"/>
          <w:szCs w:val="24"/>
          <w:u w:val="single"/>
        </w:rPr>
        <w:t xml:space="preserve"> </w:t>
      </w:r>
      <w:r>
        <w:rPr>
          <w:rFonts w:hint="eastAsia" w:ascii="Times New Roman" w:hAnsi="宋体"/>
          <w:sz w:val="24"/>
          <w:szCs w:val="24"/>
          <w:u w:val="single"/>
          <w:lang w:val="en-US" w:eastAsia="zh-Hans"/>
        </w:rPr>
        <w:t>四</w:t>
      </w:r>
      <w:r>
        <w:rPr>
          <w:rFonts w:hint="default" w:ascii="Times New Roman" w:hAnsi="宋体"/>
          <w:sz w:val="24"/>
          <w:szCs w:val="24"/>
          <w:u w:val="single"/>
        </w:rPr>
        <w:t>（1）</w:t>
      </w:r>
      <w:r>
        <w:rPr>
          <w:rFonts w:hint="eastAsia" w:ascii="Times New Roman" w:hAnsi="宋体"/>
          <w:sz w:val="24"/>
          <w:szCs w:val="24"/>
          <w:u w:val="single"/>
          <w:lang w:val="en-US" w:eastAsia="zh-Hans"/>
        </w:rPr>
        <w:t>四</w:t>
      </w:r>
      <w:r>
        <w:rPr>
          <w:rFonts w:hint="default" w:ascii="Times New Roman" w:hAnsi="宋体"/>
          <w:sz w:val="24"/>
          <w:szCs w:val="24"/>
          <w:u w:val="single"/>
        </w:rPr>
        <w:t>（2）</w:t>
      </w:r>
      <w:r>
        <w:rPr>
          <w:rFonts w:hint="eastAsia" w:ascii="Times New Roman" w:hAnsi="宋体"/>
          <w:sz w:val="24"/>
          <w:szCs w:val="24"/>
          <w:u w:val="single"/>
          <w:lang w:val="en-US" w:eastAsia="zh-Hans"/>
        </w:rPr>
        <w:t>四</w:t>
      </w:r>
      <w:r>
        <w:rPr>
          <w:rFonts w:hint="default" w:ascii="Times New Roman" w:hAnsi="宋体"/>
          <w:sz w:val="24"/>
          <w:szCs w:val="24"/>
          <w:u w:val="single"/>
        </w:rPr>
        <w:t>（3）</w:t>
      </w:r>
      <w:r>
        <w:rPr>
          <w:rFonts w:hint="eastAsia" w:ascii="Times New Roman" w:hAnsi="宋体"/>
          <w:sz w:val="24"/>
          <w:szCs w:val="24"/>
          <w:u w:val="single"/>
          <w:lang w:val="en-US" w:eastAsia="zh-Hans"/>
        </w:rPr>
        <w:t>四</w:t>
      </w:r>
      <w:r>
        <w:rPr>
          <w:rFonts w:hint="default" w:ascii="Times New Roman" w:hAnsi="宋体"/>
          <w:sz w:val="24"/>
          <w:szCs w:val="24"/>
          <w:u w:val="single"/>
        </w:rPr>
        <w:t>（4）</w:t>
      </w:r>
      <w:r>
        <w:rPr>
          <w:rFonts w:hint="eastAsia" w:ascii="Times New Roman" w:hAnsi="宋体"/>
          <w:sz w:val="24"/>
          <w:szCs w:val="24"/>
          <w:u w:val="single"/>
          <w:lang w:val="en-US" w:eastAsia="zh-Hans"/>
        </w:rPr>
        <w:t>四</w:t>
      </w:r>
      <w:r>
        <w:rPr>
          <w:rFonts w:hint="default" w:ascii="Times New Roman" w:hAnsi="宋体"/>
          <w:sz w:val="24"/>
          <w:szCs w:val="24"/>
          <w:u w:val="single"/>
        </w:rPr>
        <w:t>（5）</w:t>
      </w:r>
      <w:r>
        <w:rPr>
          <w:rFonts w:hint="eastAsia" w:ascii="Times New Roman" w:hAnsi="宋体"/>
          <w:sz w:val="24"/>
          <w:szCs w:val="24"/>
          <w:u w:val="single"/>
          <w:lang w:val="en-US" w:eastAsia="zh-Hans"/>
        </w:rPr>
        <w:t>四</w:t>
      </w:r>
      <w:r>
        <w:rPr>
          <w:rFonts w:hint="default" w:ascii="Times New Roman" w:hAnsi="宋体"/>
          <w:sz w:val="24"/>
          <w:szCs w:val="24"/>
          <w:u w:val="single"/>
        </w:rPr>
        <w:t>（6）</w:t>
      </w:r>
      <w:r>
        <w:rPr>
          <w:rFonts w:hint="eastAsia" w:ascii="Times New Roman" w:hAnsi="宋体"/>
          <w:sz w:val="24"/>
          <w:szCs w:val="24"/>
          <w:u w:val="single"/>
          <w:lang w:val="en-US" w:eastAsia="zh-Hans"/>
        </w:rPr>
        <w:t>四</w:t>
      </w:r>
      <w:r>
        <w:rPr>
          <w:rFonts w:hint="default" w:ascii="Times New Roman" w:hAnsi="宋体"/>
          <w:sz w:val="24"/>
          <w:szCs w:val="24"/>
          <w:u w:val="single"/>
        </w:rPr>
        <w:t>（7）</w:t>
      </w:r>
      <w:r>
        <w:rPr>
          <w:rFonts w:hint="eastAsia" w:ascii="Times New Roman" w:hAnsi="宋体"/>
          <w:sz w:val="24"/>
          <w:szCs w:val="24"/>
          <w:u w:val="single"/>
        </w:rPr>
        <w:t xml:space="preserve">       </w:t>
      </w:r>
    </w:p>
    <w:p>
      <w:pPr>
        <w:spacing w:line="600" w:lineRule="exact"/>
        <w:rPr>
          <w:rFonts w:ascii="Times New Roman" w:hAnsi="宋体"/>
          <w:sz w:val="24"/>
          <w:szCs w:val="24"/>
          <w:u w:val="single"/>
        </w:rPr>
      </w:pPr>
      <w:r>
        <w:rPr>
          <w:rFonts w:ascii="Times New Roman" w:hAnsi="宋体"/>
          <w:sz w:val="24"/>
          <w:szCs w:val="24"/>
        </w:rPr>
        <w:t>任课教师：</w:t>
      </w:r>
      <w:r>
        <w:rPr>
          <w:rFonts w:ascii="Times New Roman" w:hAnsi="宋体"/>
          <w:sz w:val="24"/>
          <w:szCs w:val="24"/>
          <w:u w:val="single"/>
        </w:rPr>
        <w:t xml:space="preserve"> 徐俊彦、李金芬、陈云凤、闵卉、</w:t>
      </w:r>
      <w:r>
        <w:rPr>
          <w:rFonts w:hint="eastAsia" w:ascii="Times New Roman" w:hAnsi="宋体"/>
          <w:sz w:val="24"/>
          <w:szCs w:val="24"/>
          <w:u w:val="single"/>
          <w:lang w:val="en-US" w:eastAsia="zh-Hans"/>
        </w:rPr>
        <w:t>史小忠</w:t>
      </w:r>
      <w:r>
        <w:rPr>
          <w:rFonts w:ascii="Times New Roman" w:hAnsi="宋体"/>
          <w:sz w:val="24"/>
          <w:szCs w:val="24"/>
          <w:u w:val="single"/>
        </w:rPr>
        <w:t>、</w:t>
      </w:r>
      <w:r>
        <w:rPr>
          <w:rFonts w:hint="eastAsia" w:ascii="Times New Roman" w:hAnsi="宋体"/>
          <w:sz w:val="24"/>
          <w:szCs w:val="24"/>
          <w:u w:val="single"/>
          <w:lang w:val="en-US" w:eastAsia="zh-Hans"/>
        </w:rPr>
        <w:t>何晓琼、</w:t>
      </w:r>
      <w:r>
        <w:rPr>
          <w:rFonts w:hint="eastAsia" w:ascii="Times New Roman" w:hAnsi="宋体"/>
          <w:sz w:val="24"/>
          <w:szCs w:val="24"/>
          <w:u w:val="single"/>
          <w:lang w:eastAsia="zh-CN"/>
        </w:rPr>
        <w:t>徐国英</w:t>
      </w:r>
    </w:p>
    <w:p>
      <w:pPr>
        <w:pStyle w:val="4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二、逐题得分率统计</w:t>
      </w:r>
    </w:p>
    <w:tbl>
      <w:tblPr>
        <w:tblStyle w:val="3"/>
        <w:tblW w:w="9131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976"/>
        <w:gridCol w:w="2400"/>
        <w:gridCol w:w="1727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一、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基础知识部分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二、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语言积累与运用部分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三、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阅读感悟部分</w:t>
            </w:r>
          </w:p>
        </w:tc>
        <w:tc>
          <w:tcPr>
            <w:tcW w:w="1888" w:type="dxa"/>
            <w:vAlign w:val="center"/>
          </w:tcPr>
          <w:p>
            <w:pPr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四、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习作表达部分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8850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9912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7788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8850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8123.5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8942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5733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hint="eastAsia" w:ascii="Times New Roman" w:hAnsi="宋体"/>
                <w:sz w:val="24"/>
                <w:szCs w:val="24"/>
              </w:rPr>
              <w:t>%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9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79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90.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%</w:t>
            </w:r>
            <w:bookmarkStart w:id="0" w:name="_GoBack"/>
            <w:bookmarkEnd w:id="0"/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73.61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77.01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%</w:t>
            </w:r>
          </w:p>
        </w:tc>
      </w:tr>
    </w:tbl>
    <w:p>
      <w:pPr>
        <w:pStyle w:val="4"/>
        <w:ind w:firstLineChars="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(根据实际题型制表)</w:t>
      </w:r>
    </w:p>
    <w:p>
      <w:pPr>
        <w:pStyle w:val="4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</w:p>
    <w:p>
      <w:pPr>
        <w:pStyle w:val="4"/>
        <w:ind w:firstLineChars="0"/>
        <w:rPr>
          <w:rFonts w:hint="eastAsia" w:ascii="Times New Roman" w:hAnsi="Times New Roman"/>
          <w:sz w:val="24"/>
          <w:szCs w:val="24"/>
        </w:rPr>
      </w:pPr>
    </w:p>
    <w:tbl>
      <w:tblPr>
        <w:tblStyle w:val="3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50"/>
        <w:gridCol w:w="6"/>
        <w:gridCol w:w="6007"/>
      </w:tblGrid>
      <w:tr>
        <w:trPr>
          <w:trHeight w:val="474" w:hRule="atLeast"/>
        </w:trPr>
        <w:tc>
          <w:tcPr>
            <w:tcW w:w="1413" w:type="dxa"/>
            <w:vMerge w:val="restart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一、基础知识</w:t>
            </w:r>
          </w:p>
        </w:tc>
        <w:tc>
          <w:tcPr>
            <w:tcW w:w="1956" w:type="dxa"/>
            <w:gridSpan w:val="2"/>
          </w:tcPr>
          <w:p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1.看拼音写词语</w:t>
            </w:r>
          </w:p>
        </w:tc>
        <w:tc>
          <w:tcPr>
            <w:tcW w:w="6007" w:type="dxa"/>
          </w:tcPr>
          <w:p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额角、慌忙、幸福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</w:rPr>
              <w:t>”这些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词语出错，原因一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同音字混淆，如：把“额角”写成了“鹅脚”；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</w:rPr>
              <w:t>二是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出现错别字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Hans"/>
              </w:rPr>
              <w:t>：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慌忙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的“慌”中间的“亡”写成了“亡”多一点；三是没分清前后鼻音，把“幸福”写成了“信服”。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1413" w:type="dxa"/>
            <w:vMerge w:val="continue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2.比一比再组词</w:t>
            </w:r>
          </w:p>
        </w:tc>
        <w:tc>
          <w:tcPr>
            <w:tcW w:w="6007" w:type="dxa"/>
          </w:tcPr>
          <w:p>
            <w:p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个别学生为“潇”组词组了个叠词“潇潇”或者把“潇”写成了错别字；</w:t>
            </w:r>
          </w:p>
          <w:p>
            <w:p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个别学生粗心大意，如：为“铁”组词，只写了“钢”忘记了写“铁”。</w:t>
            </w:r>
          </w:p>
          <w:p>
            <w:p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个别学生不认识“秩”和“铁”。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</w:trPr>
        <w:tc>
          <w:tcPr>
            <w:tcW w:w="1413" w:type="dxa"/>
            <w:vMerge w:val="continue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3.选择正确读音</w:t>
            </w:r>
          </w:p>
        </w:tc>
        <w:tc>
          <w:tcPr>
            <w:tcW w:w="6007" w:type="dxa"/>
          </w:tcPr>
          <w:p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主要出错的两个字的读音是“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彬彬有礼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和“亲昵”，前者出错是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</w:rPr>
              <w:t>前后鼻音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音不分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Hans"/>
              </w:rPr>
              <w:t>；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后者出错是“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  <w:lang w:eastAsia="zh-Hans"/>
              </w:rPr>
              <w:t>n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”“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  <w:lang w:eastAsia="zh-Hans"/>
              </w:rPr>
              <w:t>l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”不分。</w:t>
            </w:r>
          </w:p>
        </w:tc>
      </w:tr>
      <w:tr>
        <w:trPr>
          <w:trHeight w:val="474" w:hRule="atLeast"/>
        </w:trPr>
        <w:tc>
          <w:tcPr>
            <w:tcW w:w="1413" w:type="dxa"/>
            <w:vMerge w:val="continue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>
            <w:p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选词填空</w:t>
            </w:r>
          </w:p>
        </w:tc>
        <w:tc>
          <w:tcPr>
            <w:tcW w:w="6007" w:type="dxa"/>
          </w:tcPr>
          <w:p>
            <w:p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少数学生无法区分“战役”和“战斗”的区别，“战役”比“战斗”耗时长，一次“战役”里面可能包含几次战斗。</w:t>
            </w:r>
          </w:p>
          <w:p>
            <w:p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个别学生出现错别字，把“持续”写成了“持继”。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37" w:hRule="atLeast"/>
        </w:trPr>
        <w:tc>
          <w:tcPr>
            <w:tcW w:w="1413" w:type="dxa"/>
            <w:vMerge w:val="continue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  <w:szCs w:val="24"/>
              </w:rPr>
              <w:t>5.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句子练习</w:t>
            </w:r>
          </w:p>
        </w:tc>
        <w:tc>
          <w:tcPr>
            <w:tcW w:w="6007" w:type="dxa"/>
          </w:tcPr>
          <w:p>
            <w:p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（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  <w:lang w:eastAsia="zh-Hans"/>
              </w:rPr>
              <w:t>1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）改病句：很多学生没有把“能否”删掉，意识不到“能否”包含着“是或不是”的问题。</w:t>
            </w:r>
          </w:p>
          <w:p>
            <w:p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（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  <w:lang w:eastAsia="zh-Hans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）写连续的动作：少数学生审题不清，只写了一个动词或者干脆空着不写。</w:t>
            </w:r>
          </w:p>
          <w:p>
            <w:p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（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  <w:lang w:eastAsia="zh-Hans"/>
              </w:rPr>
              <w:t>3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）仿句：本体和喻体之间缺乏相似性，所写的句子中也缺乏相应的季节特点。比如：把“夏天”比作了“太阳”，比作了“除衣师”。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1413" w:type="dxa"/>
            <w:vMerge w:val="restart"/>
          </w:tcPr>
          <w:p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二、语言积累与运用部分</w:t>
            </w:r>
          </w:p>
        </w:tc>
        <w:tc>
          <w:tcPr>
            <w:tcW w:w="1956" w:type="dxa"/>
            <w:gridSpan w:val="2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1.将诗句补充完整</w:t>
            </w:r>
          </w:p>
        </w:tc>
        <w:tc>
          <w:tcPr>
            <w:tcW w:w="6007" w:type="dxa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诗句会背了，错字连篇，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</w:rPr>
              <w:t>比如“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相媚好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的“媚”里的“目”写成了“日”；“吴音”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</w:rPr>
              <w:t>写成了“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无音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Hans"/>
              </w:rPr>
              <w:t>；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或者是距离漏了一个字。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413" w:type="dxa"/>
            <w:vMerge w:val="continue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妙笔写美景</w:t>
            </w:r>
          </w:p>
        </w:tc>
        <w:tc>
          <w:tcPr>
            <w:tcW w:w="6007" w:type="dxa"/>
          </w:tcPr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平时的《海上日出》习题出示三条横线让学生填写晴朗时、多云时和有黑云时的日出，现在改成了两条横线，学生缺乏随机应变和概括的能力，不知道后后两种情况总结成“有云时”。</w:t>
            </w:r>
          </w:p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少数学生对《记金华的双龙洞》的游览顺序一无所知，记性很差，这个知识点重点复习过。</w:t>
            </w:r>
          </w:p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少数学生认为“内洞”是重点。因为他们对里面变化多端的石钟乳印象更深刻，再加上写“空隙”的篇幅和写“内洞”的篇幅相差无几。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" w:hRule="atLeast"/>
        </w:trPr>
        <w:tc>
          <w:tcPr>
            <w:tcW w:w="1413" w:type="dxa"/>
            <w:vMerge w:val="continue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成长有乐趣</w:t>
            </w:r>
          </w:p>
        </w:tc>
        <w:tc>
          <w:tcPr>
            <w:tcW w:w="6007" w:type="dxa"/>
          </w:tcPr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个别学生默写《囊萤夜读》出错，“萤”写成了“莹”，“盛”写成了心字底。</w:t>
            </w:r>
          </w:p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个别学生积累太少，不喜背诵又记性太差，一个也写不出古人勤奋读书的成语；</w:t>
            </w:r>
          </w:p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少数学生出现错别字，如：“悬梁刺股”写成了“悬梁刺骨”。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1413" w:type="dxa"/>
            <w:vMerge w:val="continue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Hans"/>
              </w:rPr>
              <w:t>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经典抒品质</w:t>
            </w:r>
          </w:p>
        </w:tc>
        <w:tc>
          <w:tcPr>
            <w:tcW w:w="6007" w:type="dxa"/>
          </w:tcPr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u w:val="none"/>
                <w:lang w:val="en-US" w:eastAsia="zh-Hans"/>
              </w:rPr>
              <w:t>一是个别学生审题不清，把前一句的答案写到了后一句的横线上；</w:t>
            </w:r>
          </w:p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u w:val="none"/>
                <w:lang w:val="en-US" w:eastAsia="zh-Hans"/>
              </w:rPr>
              <w:t>二是学生不理解《芙蓉楼送辛渐》和《墨梅》的意思，认为前两两句表达了诗人的品格；</w:t>
            </w:r>
          </w:p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u w:val="single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u w:val="none"/>
                <w:lang w:val="en-US" w:eastAsia="zh-Hans"/>
              </w:rPr>
              <w:t>三是出现错别字：把“亲友”写成了“幸友”。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1413" w:type="dxa"/>
            <w:vMerge w:val="restart"/>
          </w:tcPr>
          <w:p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三、阅读感悟部分</w:t>
            </w:r>
          </w:p>
        </w:tc>
        <w:tc>
          <w:tcPr>
            <w:tcW w:w="1956" w:type="dxa"/>
            <w:gridSpan w:val="2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1.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用“——”画出正确的字词或读音。</w:t>
            </w:r>
          </w:p>
        </w:tc>
        <w:tc>
          <w:tcPr>
            <w:tcW w:w="6007" w:type="dxa"/>
          </w:tcPr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一是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</w:rPr>
              <w:t>个别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学生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漏看题目，没有找到全部需要选择的字词；二是学生对多音字“闷”和“薄”在不同意思下的读音掌握得牢固；</w:t>
            </w:r>
          </w:p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三是个别学生语言敏感度低、词汇量又不足，不知道“弯”用于残缺的“弦月”，“轮”用于完整的“满月”；无法区分“泄”和“泻”，因为这两个字形相似，“泄”指排出，而“泻”指像水一样流淌。短文里的月光像水一样流淌。</w:t>
            </w:r>
          </w:p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四是学生倾向于选择日常生活中常用于形容妈妈的词语“温柔”，而“柔和”是作者在此情此境中的专用词，指朦胧的月光下妈妈的面部轮廓和表情都模糊了，显得“柔和”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1413" w:type="dxa"/>
            <w:vMerge w:val="continue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联系上下文，理解下列词语的意思。</w:t>
            </w:r>
          </w:p>
        </w:tc>
        <w:tc>
          <w:tcPr>
            <w:tcW w:w="6007" w:type="dxa"/>
          </w:tcPr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Hans"/>
              </w:rPr>
              <w:t>“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不知不觉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Hans"/>
              </w:rPr>
              <w:t>”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只写了“不知道”，没有关注“知”和“觉”；</w:t>
            </w:r>
          </w:p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缺乏答题技巧，可以用拆字组词法理解不太熟悉的词语。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 w:hRule="atLeast"/>
        </w:trPr>
        <w:tc>
          <w:tcPr>
            <w:tcW w:w="1413" w:type="dxa"/>
            <w:vMerge w:val="continue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填空和仿写</w:t>
            </w:r>
          </w:p>
        </w:tc>
        <w:tc>
          <w:tcPr>
            <w:tcW w:w="6007" w:type="dxa"/>
          </w:tcPr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填空：个别学生粗心，把“牛郎织女”写成了“牛朗”；写两个故事的名字，个别学生空着或者写错别字；</w:t>
            </w:r>
          </w:p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仿写：少数学生没有严格按照句式，自由发挥了，后半句应该写“听到了……”“闻到了……”“看到了……”这样的句式。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1413" w:type="dxa"/>
            <w:vMerge w:val="continue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读画波浪线的句子，这样写有什么作用？</w:t>
            </w:r>
          </w:p>
        </w:tc>
        <w:tc>
          <w:tcPr>
            <w:tcW w:w="6007" w:type="dxa"/>
          </w:tcPr>
          <w:p>
            <w:pPr>
              <w:jc w:val="left"/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多数学生关注到了月光的洁白、明亮、柔和、美丽。但是他们没有联系上下文理解体会整个场景的宁静温馨。可以衬托出母亲的轻声细语和温柔的个性，衬托出作者沉浸在月光下的故事里，已经听得如痴如醉。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" w:hRule="atLeast"/>
        </w:trPr>
        <w:tc>
          <w:tcPr>
            <w:tcW w:w="1413" w:type="dxa"/>
            <w:vMerge w:val="continue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5.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读第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  <w:lang w:eastAsia="zh-Hans"/>
              </w:rPr>
              <w:t>5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自然段，练习上下文，说说表达了作者怎样的感情？</w:t>
            </w:r>
          </w:p>
        </w:tc>
        <w:tc>
          <w:tcPr>
            <w:tcW w:w="6013" w:type="dxa"/>
            <w:gridSpan w:val="2"/>
          </w:tcPr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/>
                <w:kern w:val="0"/>
                <w:sz w:val="24"/>
                <w:szCs w:val="24"/>
                <w:lang w:eastAsia="zh-Hans"/>
              </w:rPr>
              <w:t>1.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少数学生只关注到《乡愁》里的诗句，没有仔细阅读第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  <w:lang w:eastAsia="zh-Hans"/>
              </w:rPr>
              <w:t>5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自然段中的最后一句话，他们提到了“家乡”和“月光”，却忽略了“月光下的母亲”。</w:t>
            </w:r>
          </w:p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/>
                <w:kern w:val="0"/>
                <w:sz w:val="24"/>
                <w:szCs w:val="24"/>
                <w:lang w:eastAsia="zh-Hans"/>
              </w:rPr>
              <w:t>2.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少数学生没有联系上下文，是母亲在月光下为儿女们讲故事。主角是“母亲”。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6" w:hRule="atLeast"/>
        </w:trPr>
        <w:tc>
          <w:tcPr>
            <w:tcW w:w="1413" w:type="dxa"/>
          </w:tcPr>
          <w:p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四、习作表达部分</w:t>
            </w:r>
          </w:p>
        </w:tc>
        <w:tc>
          <w:tcPr>
            <w:tcW w:w="7963" w:type="dxa"/>
            <w:gridSpan w:val="3"/>
          </w:tcPr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多数学生把习作重点放在描写人物的次要特点，选材不当，所写内容不能表明这个人值得敬佩。。学生应该选择人物身上最高尚、最宝贵、最值得敬佩的特质进行举例说明。</w:t>
            </w:r>
          </w:p>
          <w:p>
            <w:pPr>
              <w:jc w:val="lef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少数同学用词单调，没有使用带有修辞、抒情的语句进行描写，或者缺乏细节描写。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个别学生，作文太短，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只写了三言两语，或者只写了一半的篇幅，或者字迹潦草，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文章层次不清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Hans"/>
              </w:rPr>
              <w:t>表达含糊。</w:t>
            </w:r>
          </w:p>
        </w:tc>
      </w:tr>
    </w:tbl>
    <w:p>
      <w:pPr>
        <w:pStyle w:val="4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四、成效分析</w:t>
      </w:r>
    </w:p>
    <w:tbl>
      <w:tblPr>
        <w:tblStyle w:val="3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64" w:hRule="atLeast"/>
        </w:trPr>
        <w:tc>
          <w:tcPr>
            <w:tcW w:w="9391" w:type="dxa"/>
          </w:tcPr>
          <w:p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从试卷的命题上看，我在平时的教学中都关注到了，在复习中都已反复地强调，可学生还是出现意想不到的错误，分析原因，一是学生弹性作业，背书、默写、阅读、预习不能扎实有效的完成，甚至有的根本没有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Hans"/>
              </w:rPr>
              <w:t>完成阅读和背诵的作业</w:t>
            </w:r>
            <w:r>
              <w:rPr>
                <w:rFonts w:hint="eastAsia" w:ascii="Times New Roman" w:hAnsi="宋体"/>
                <w:sz w:val="24"/>
                <w:szCs w:val="24"/>
              </w:rPr>
              <w:t>，复习强化训练，默写检测，反复巩固，只是形成了瞬时记忆、短时记忆，在考试中无法把识记内容准确无误答题：二是有些学生上课注意力涣散，所以有的知识点没有掌握，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Hans"/>
              </w:rPr>
              <w:t>比如句式训练</w:t>
            </w:r>
            <w:r>
              <w:rPr>
                <w:rFonts w:hint="eastAsia" w:ascii="Times New Roman" w:hAnsi="宋体"/>
                <w:sz w:val="24"/>
                <w:szCs w:val="24"/>
              </w:rPr>
              <w:t>，因懒于动口致使没有语感</w:t>
            </w:r>
            <w:r>
              <w:rPr>
                <w:rFonts w:hint="eastAsia" w:ascii="Times New Roman" w:hAnsi="宋体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Hans"/>
              </w:rPr>
              <w:t>再加上欠缺</w:t>
            </w:r>
            <w:r>
              <w:rPr>
                <w:rFonts w:hint="eastAsia" w:ascii="Times New Roman" w:hAnsi="宋体"/>
                <w:sz w:val="24"/>
                <w:szCs w:val="24"/>
              </w:rPr>
              <w:t>答题技巧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Hans"/>
              </w:rPr>
              <w:t>更加雪上加霜</w:t>
            </w:r>
            <w:r>
              <w:rPr>
                <w:rFonts w:hint="eastAsia" w:ascii="Times New Roman" w:hAnsi="宋体"/>
                <w:sz w:val="24"/>
                <w:szCs w:val="24"/>
              </w:rPr>
              <w:t>；三是平时做作业注意力不集中，边做边玩，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Hans"/>
              </w:rPr>
              <w:t>再加上天气炎热，</w:t>
            </w:r>
            <w:r>
              <w:rPr>
                <w:rFonts w:hint="eastAsia" w:ascii="Times New Roman" w:hAnsi="宋体"/>
                <w:sz w:val="24"/>
                <w:szCs w:val="24"/>
              </w:rPr>
              <w:t>考试时，80分钟的时间，他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Hans"/>
              </w:rPr>
              <w:t>们</w:t>
            </w:r>
            <w:r>
              <w:rPr>
                <w:rFonts w:hint="eastAsia" w:ascii="Times New Roman" w:hAnsi="宋体"/>
                <w:sz w:val="24"/>
                <w:szCs w:val="24"/>
              </w:rPr>
              <w:t>无法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Hans"/>
              </w:rPr>
              <w:t>长</w:t>
            </w:r>
            <w:r>
              <w:rPr>
                <w:rFonts w:hint="eastAsia" w:ascii="Times New Roman" w:hAnsi="宋体"/>
                <w:sz w:val="24"/>
                <w:szCs w:val="24"/>
              </w:rPr>
              <w:t>集中注意力考试，前面试卷答题得分很高，后面阅读，扣分较多</w:t>
            </w:r>
            <w:r>
              <w:rPr>
                <w:rFonts w:hint="default" w:ascii="Times New Roman" w:hAnsi="宋体"/>
                <w:sz w:val="24"/>
                <w:szCs w:val="24"/>
              </w:rPr>
              <w:t>，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Hans"/>
              </w:rPr>
              <w:t>没有审清题目和短文就急于下笔。写一个让你敬佩的人，可以写身边的人，也可以写各行各业的英雄人物，学生可选择的范围其实非常广阔。</w:t>
            </w:r>
          </w:p>
        </w:tc>
      </w:tr>
    </w:tbl>
    <w:p>
      <w:pPr>
        <w:pStyle w:val="4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4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五、命题质量反馈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c>
          <w:tcPr>
            <w:tcW w:w="9286" w:type="dxa"/>
          </w:tcPr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1．题型多元而多样。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纵观这份试卷，其内容涵盖了“听说读写、字词句篇”，题型多样而富有开创性，力求对学生的素质进行全方面的评价。一是紧扣文本又超越文本，广泛地涉及到文本的各个知识点；二是体现了情感、知识、能力三维目标的有效渗透，词句段篇做到了有机融合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各类题型都需要学生在扎实掌握课内知识的同时灵活运用，对于有一定积累的学生来说无疑是大有裨益的，但对于平时缺乏积累的学生来说就显得有一定的难度。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2．突出语文的实践与开放。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知识积累题的灵活运用，生字词语题的基本功训练，课外阅读题的灵活丰富以及作文题的贴近生活，都拓展了学生展示自我的空间，并注重了基础知识与基本技能的测查。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3．注重积累和运用。</w:t>
            </w:r>
          </w:p>
          <w:p>
            <w:pPr>
              <w:spacing w:line="480" w:lineRule="exact"/>
              <w:ind w:firstLine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本次试题紧扣文本，较好地处理了课内学习和课外阅读实践的有机整合，体现了大语文观。</w:t>
            </w:r>
          </w:p>
        </w:tc>
      </w:tr>
    </w:tbl>
    <w:p>
      <w:pPr>
        <w:pStyle w:val="4"/>
        <w:ind w:firstLineChars="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楷体" w:hAnsi="楷体" w:eastAsia="楷体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析管理过程的得失，改进教学质量研究提升的方式方法。</w:t>
      </w:r>
    </w:p>
    <w:p>
      <w:pPr>
        <w:pStyle w:val="4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spacing w:line="440" w:lineRule="exact"/>
        <w:rPr>
          <w:rFonts w:ascii="楷体" w:hAnsi="楷体" w:eastAsia="楷体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英章行书">
    <w:altName w:val="苹方-简"/>
    <w:panose1 w:val="02010600040101010101"/>
    <w:charset w:val="00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Segoe Script">
    <w:altName w:val="苹方-简"/>
    <w:panose1 w:val="030B0504020000000003"/>
    <w:charset w:val="00"/>
    <w:family w:val="script"/>
    <w:pitch w:val="default"/>
    <w:sig w:usb0="00000000" w:usb1="00000000" w:usb2="00000000" w:usb3="00000000" w:csb0="0000009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Kingsoft Confetti">
    <w:altName w:val="苹方-简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5FF001A"/>
    <w:rsid w:val="B5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2022-06-28T20:25:00Z</dcterms:created>
  <dc:creator>apple</dc:creator>
  <cp:lastModifiedBy>apple</cp:lastModifiedBy>
  <dcterms:modified xsi:type="dcterms:W3CDTF">2022-06-28T20:32:38Z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