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三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语文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</w:t>
      </w:r>
      <w:r>
        <w:rPr>
          <w:rFonts w:ascii="Times New Roman" w:hAnsi="宋体"/>
          <w:i w:val="0"/>
          <w:iCs w:val="0"/>
          <w:sz w:val="24"/>
          <w:szCs w:val="24"/>
          <w:u w:val="none"/>
        </w:rPr>
        <w:t>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  <w:u w:val="single"/>
        </w:rPr>
        <w:t>南渡中心小学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宋体"/>
          <w:sz w:val="24"/>
          <w:szCs w:val="24"/>
        </w:rPr>
        <w:t xml:space="preserve">       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</w:rPr>
        <w:t>017</w:t>
      </w:r>
    </w:p>
    <w:p>
      <w:pPr>
        <w:spacing w:line="600" w:lineRule="exact"/>
        <w:rPr>
          <w:rFonts w:ascii="Times New Roman" w:hAnsi="宋体"/>
          <w:sz w:val="24"/>
          <w:szCs w:val="24"/>
          <w:u w:val="single"/>
          <w:lang w:val="en-US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三</w:t>
      </w:r>
      <w:r>
        <w:rPr>
          <w:rFonts w:hint="eastAsia" w:ascii="Times New Roman" w:hAnsi="宋体"/>
          <w:sz w:val="24"/>
          <w:szCs w:val="24"/>
          <w:u w:val="single"/>
        </w:rPr>
        <w:t>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  <w:u w:val="single"/>
        </w:rPr>
        <w:t>）~（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Times New Roman" w:hAnsi="宋体"/>
          <w:sz w:val="24"/>
          <w:szCs w:val="24"/>
          <w:u w:val="single"/>
        </w:rPr>
        <w:t>）班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李文婷、易金芳、姚孟希、管超、赵瑜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</w:p>
    <w:tbl>
      <w:tblPr>
        <w:tblStyle w:val="7"/>
        <w:tblW w:w="9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5"/>
        <w:gridCol w:w="1275"/>
        <w:gridCol w:w="1110"/>
        <w:gridCol w:w="1080"/>
        <w:gridCol w:w="975"/>
        <w:gridCol w:w="975"/>
        <w:gridCol w:w="97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应考人数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实考人数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及格率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优秀率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84.36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95.9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65.3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李文婷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86.07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65.2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易金芳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 xml:space="preserve">49 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83.95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97.9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62.5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姚孟希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82.20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93.9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58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管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85.60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94.5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31.5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97.9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44.7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赵 瑜</w:t>
            </w:r>
          </w:p>
        </w:tc>
      </w:tr>
    </w:tbl>
    <w:p>
      <w:pPr>
        <w:spacing w:line="600" w:lineRule="exact"/>
        <w:rPr>
          <w:rFonts w:ascii="Times New Roman" w:hAnsi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6"/>
        <w:tblW w:w="9235" w:type="dxa"/>
        <w:jc w:val="center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77"/>
        <w:gridCol w:w="799"/>
        <w:gridCol w:w="1029"/>
        <w:gridCol w:w="1089"/>
        <w:gridCol w:w="1037"/>
        <w:gridCol w:w="1106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看拼音写词语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2.比一比，再组词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3.选择正确的读音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4.选词填空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5.句子练习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基础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默写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阅读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感悟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四、习作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1928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964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723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964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1446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6266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5784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1807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843.5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602.5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723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1205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5784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4338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93.5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87.5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83.3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83.3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92.3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80.0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</w:tbl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例举学生的典型错误，并分析错误原因：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基础知识部分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看拼音，写词语。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（1）大多数学生能准确拼读，并根据拼音正确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写出词语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抄。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极个别学生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错误率较高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变幻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”错误较多，少部分学生“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蘑菇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写成了“蘑茹”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思绪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写成了“迅速”。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比一比，再组词。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（1）大多数学生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分清形近字写对组词，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个别学生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因不识字导致错误较多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个别学生将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val="en-US" w:eastAsia="zh-CN"/>
              </w:rPr>
              <w:t>拨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“拔”“壮”“厉”组词中写错别字导致错误。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用“——”给带点字选择正确的读音。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（1）大多数学生能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正确选择，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极个别学生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有错误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个别学生将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em w:val="dot"/>
                <w:lang w:val="en-US" w:eastAsia="zh-CN"/>
              </w:rPr>
              <w:t>裁缝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的读音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选错；声调弄混淆。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选词填空。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（1）大多数学生能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lang w:eastAsia="zh-CN"/>
              </w:rPr>
              <w:t>正确选择词语，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极个别学生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有错误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个别学生不理解“寂静”的词义导致错误。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句子练习。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（1）反问句：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大部分学生的反问句掌握不牢固，遇到难点的就不会。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（2）转述句：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大部分学生都会写，少部分学生标点忘记改。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（3）续写句子：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部分学生漏做题目导致失分；个别学生不符合句子要求。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语言积累与运用部分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1.大部分学生能够背诵古诗、谚语、名言和课文选段，极个别学生因不会背诵导致失分较多。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2.古诗默写：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默写古诗时，有些错别字；个别学生不会背诵或者写错了诗句导致失分。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3.谚语名言：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“水来土掩”、“耳听为虚”错别字较多。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4.课文选段：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个别学生在书写时有添字漏字、错别字的情况。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5.概括内涵：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个别学生因上课不听或遗忘导致“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的小沙”“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的宋庆龄”不会概括填写；还有个别学生是因为错别字导致失分。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阅读感悟部分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照样子写词语：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部分学生不会写导致失分，有的学生直接空着不写；部分学生错字别字较多。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近义词：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学生想不出来近义词是什么。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短文填空：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大部分学生是因为没有找到文章中相应的语句提取关键词来回答，而是根据自己的理解来填空导致失分；个别学生因不读短文、空着不写导致错误较多。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根据语境选择：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部分学生漏写；个别学生不会抓住课文重要内容，不会从语言中提炼出关键词导致失分。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喜欢太阳花：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部分学生不会总结概括，只写出了一点，内容不够全面，导致失分。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习作表达部分</w:t>
            </w:r>
          </w:p>
          <w:p>
            <w:pPr>
              <w:numPr>
                <w:ilvl w:val="0"/>
                <w:numId w:val="4"/>
              </w:numPr>
              <w:spacing w:line="380" w:lineRule="exac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作文是以“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我最喜欢一个人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”为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题，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写清楚人物特点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以及自己为什么喜欢她。大部分学生抓住了主题进行书写，语言文字运用能力较好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的同学也能写出不错的文章，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大部分学生没有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偏题或重点不突出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2.大部分扣分主要在于“人物特点”写得不够生动具体，也就是人物形象不够突出，事情写得不详细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80" w:lineRule="exact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个别学生不会写或篇幅较短导致扣分较多；个别学生没有写完也失分较多。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6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这次期末测试卷题量适中，试卷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难度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适宜，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学生发挥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正常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大多数学生在基础知识方面掌握得比较牢固，看拼音写词语、默写课文这一类题目完成得不错，但是对于所学知识不能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概括总结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，究根结底还是没有完全理解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课文内容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。阅读分析完成得不好，学生的阅读理解能力还有待加强，特别是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理解词语意思、加标点和启发感悟题目，做得不够理想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注重“双基”（即基础知识、基本技能），提高语文能力。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首先，注重字的教学，包括字音、字形、字义，特别注重字义的理解，加强形近字和音近字的区分练习。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其次，注重语言积累，包括成语积累、古诗词、俗语谚语以及课文背诵，不仅会读会写，对所学内容要做到理解，更要重视意思的理解和灵活运用。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最后，书写句子。加强句子训练，固定句式的指导、练习到位，让学生能从不断的练习中掌握规律和方法。做到正确、通顺。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进一步优化阅读课。精讲细练，重感悟、重积累，力争优秀篇目达到熟读成诵，不仅是应对考试，更重要的是积累语言、丰富语言，加强学生的语文积淀，已达到读写结合、以读促写的目的。教师在教学过程中，应适度地渗透学习方法的指导，让学生在主动探究中进行实践，获取的不仅仅是问题的答案，而是吸取知识的方法。充分发挥“授之以渔”的重要作用，多教怎么学，少教怎么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拓展课外阅读，以课外阅读促进阅读理解能力提升加强习作指导，由扶到放，带着学生进行写作，结合生活多练习，平时结合阅读和练习中教给学生表达的顺序，表达句子要完整，书写要规范，注意段与段、句与句之间要连贯。重点指导孩子如何把握文章重点，把重点部分写具体，写完整。同时，也要训练学生选材和立意的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学生学习习惯的培养要常抓不懈，习惯决定一切！培养学生做完作业要细心检查的好习惯，本次考试中还有很多同学因为粗心大意，看错了题目、漏做题目而出现了大面积的丢分，以后要注意培养孩子细心答题的好习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.加强对学困生的学习辅导。班级中的学困生应到多联系家长，沟通交流，争取家长的大力支持。家校合作，共同努力，共同督促，找准他们的弱点，找到适合的方法与内容，从最基础的知识抓起，点滴进步促进成绩提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在今后教学工作中，老师要狠抓学生的习惯，端正学生的学习态度。针对问题进行有目的、有计划地教学和辅导，在良好的学习氛围中帮助学生夯实基础，学好语文。对于班级中的学困生还是要不抛弃、不放弃。可以发挥小助手的作用，给每一位学困生配一位小老师，这样既减轻了老师的负担，又发挥了学生的主动性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本次期末考试试卷从总体来看试卷抓住了本年级本册书的重点、难点、关键点，整个试卷注重了基础知识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和基本技能</w:t>
            </w:r>
            <w:r>
              <w:rPr>
                <w:rFonts w:hint="eastAsia" w:ascii="Times New Roman" w:hAnsi="Times New Roman"/>
                <w:sz w:val="24"/>
                <w:szCs w:val="24"/>
              </w:rPr>
              <w:t>的训练，在学生思维训练方面也有许多精巧的设计。</w:t>
            </w:r>
            <w:r>
              <w:rPr>
                <w:rFonts w:hint="eastAsia" w:ascii="宋体" w:hAnsi="宋体" w:cs="宋体"/>
                <w:sz w:val="24"/>
                <w:szCs w:val="24"/>
              </w:rPr>
              <w:t>总的来说，试卷难易适中，既有基础知识的掌握，又有基本技能的训练，既有一定的深度，又有一定的广度，没有偏题、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怪题，也没有过难的题目，与课程标准的要求相一致，没有出现超纲现象，能真实地反映出学生的知识掌握水平。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744A5"/>
    <w:multiLevelType w:val="singleLevel"/>
    <w:tmpl w:val="DAB7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8669CE"/>
    <w:multiLevelType w:val="singleLevel"/>
    <w:tmpl w:val="488669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5A995CA"/>
    <w:multiLevelType w:val="singleLevel"/>
    <w:tmpl w:val="75A995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C493F42"/>
    <w:multiLevelType w:val="singleLevel"/>
    <w:tmpl w:val="7C493F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41"/>
    <w:rsid w:val="00036C2D"/>
    <w:rsid w:val="0005338E"/>
    <w:rsid w:val="000A04BB"/>
    <w:rsid w:val="00252A90"/>
    <w:rsid w:val="002D0268"/>
    <w:rsid w:val="00346F26"/>
    <w:rsid w:val="003620B9"/>
    <w:rsid w:val="003967EF"/>
    <w:rsid w:val="003E3D1A"/>
    <w:rsid w:val="00427281"/>
    <w:rsid w:val="004475E3"/>
    <w:rsid w:val="00451C2D"/>
    <w:rsid w:val="00484D8D"/>
    <w:rsid w:val="004D2498"/>
    <w:rsid w:val="005146C4"/>
    <w:rsid w:val="00565930"/>
    <w:rsid w:val="005B5EC0"/>
    <w:rsid w:val="00611375"/>
    <w:rsid w:val="00666A17"/>
    <w:rsid w:val="0068619D"/>
    <w:rsid w:val="006A7544"/>
    <w:rsid w:val="007974FB"/>
    <w:rsid w:val="007B40BE"/>
    <w:rsid w:val="007C707E"/>
    <w:rsid w:val="008905EB"/>
    <w:rsid w:val="0093324B"/>
    <w:rsid w:val="00977894"/>
    <w:rsid w:val="009C381F"/>
    <w:rsid w:val="00A4624A"/>
    <w:rsid w:val="00A93775"/>
    <w:rsid w:val="00AC7A7B"/>
    <w:rsid w:val="00B03288"/>
    <w:rsid w:val="00BD7B9E"/>
    <w:rsid w:val="00CB1F2F"/>
    <w:rsid w:val="00CC16FB"/>
    <w:rsid w:val="00E144D8"/>
    <w:rsid w:val="00E65B41"/>
    <w:rsid w:val="00E7767D"/>
    <w:rsid w:val="00ED3350"/>
    <w:rsid w:val="00ED56ED"/>
    <w:rsid w:val="00F14E01"/>
    <w:rsid w:val="00F74E39"/>
    <w:rsid w:val="00FA655E"/>
    <w:rsid w:val="00FC573A"/>
    <w:rsid w:val="00FF02ED"/>
    <w:rsid w:val="01154361"/>
    <w:rsid w:val="040C4658"/>
    <w:rsid w:val="12AB71BC"/>
    <w:rsid w:val="188C7CEF"/>
    <w:rsid w:val="1D534282"/>
    <w:rsid w:val="27B96D33"/>
    <w:rsid w:val="322136EF"/>
    <w:rsid w:val="443A62DB"/>
    <w:rsid w:val="4F350943"/>
    <w:rsid w:val="516560C7"/>
    <w:rsid w:val="5C2E497C"/>
    <w:rsid w:val="69C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converted-space"/>
    <w:basedOn w:val="5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342</Words>
  <Characters>1953</Characters>
  <Lines>16</Lines>
  <Paragraphs>4</Paragraphs>
  <TotalTime>131</TotalTime>
  <ScaleCrop>false</ScaleCrop>
  <LinksUpToDate>false</LinksUpToDate>
  <CharactersWithSpaces>2291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2020-01-15T14:14:00Z</dcterms:created>
  <dc:creator>Administrator</dc:creator>
  <cp:lastModifiedBy>Cici</cp:lastModifiedBy>
  <dcterms:modified xsi:type="dcterms:W3CDTF">2022-06-30T05:41:30Z</dcterms:modified>
  <dc:title>NTKO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F5EEF138E8884ED9AB998D64BCEC1F4B</vt:lpwstr>
  </property>
  <property fmtid="{D5CDD505-2E9C-101B-9397-08002B2CF9AE}" pid="4" name="KSORubyTemplateID" linkTarget="0">
    <vt:lpwstr>6</vt:lpwstr>
  </property>
</Properties>
</file>