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溧阳市20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19</w:t>
      </w:r>
      <w:r>
        <w:rPr>
          <w:rFonts w:hint="eastAsia" w:ascii="宋体" w:hAnsi="宋体"/>
          <w:b/>
          <w:sz w:val="36"/>
          <w:szCs w:val="36"/>
        </w:rPr>
        <w:t>学年度第一学期</w:t>
      </w:r>
      <w:r>
        <w:rPr>
          <w:rFonts w:hint="eastAsia" w:ascii="宋体" w:hAnsi="宋体"/>
          <w:b/>
          <w:sz w:val="36"/>
          <w:szCs w:val="36"/>
          <w:lang w:eastAsia="zh-CN"/>
        </w:rPr>
        <w:t>期末质量</w:t>
      </w:r>
      <w:r>
        <w:rPr>
          <w:rFonts w:hint="eastAsia" w:ascii="宋体" w:hAnsi="宋体"/>
          <w:b/>
          <w:sz w:val="36"/>
          <w:szCs w:val="36"/>
        </w:rPr>
        <w:t>调研测试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default" w:ascii="黑体" w:hAnsi="华文中宋" w:eastAsia="宋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 xml:space="preserve">    </w:t>
      </w:r>
      <w:r>
        <w:rPr>
          <w:rFonts w:hint="eastAsia" w:ascii="宋体" w:hAnsi="宋体" w:eastAsia="宋体" w:cs="宋体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八级语文质量评估报告   </w:t>
      </w:r>
      <w:r>
        <w:rPr>
          <w:rFonts w:hint="eastAsia" w:ascii="宋体" w:hAnsi="宋体" w:eastAsia="宋体" w:cs="宋体"/>
          <w:sz w:val="21"/>
          <w:szCs w:val="21"/>
        </w:rPr>
        <w:t xml:space="preserve"> 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.1</w:t>
      </w:r>
      <w:r>
        <w:rPr>
          <w:rFonts w:hint="eastAsia" w:cs="宋体"/>
          <w:sz w:val="21"/>
          <w:szCs w:val="21"/>
          <w:lang w:val="en-US" w:eastAsia="zh-CN"/>
        </w:rPr>
        <w:t>.14</w:t>
      </w:r>
    </w:p>
    <w:p>
      <w:pPr>
        <w:ind w:firstLine="420" w:firstLineChars="200"/>
        <w:rPr>
          <w:rFonts w:hint="eastAsia" w:ascii="楷体_GB2312" w:hAnsi="楷体_GB2312" w:eastAsia="楷体_GB2312" w:cs="楷体_GB2312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本试卷紧扣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部编版</w:t>
      </w:r>
      <w:r>
        <w:rPr>
          <w:rFonts w:hint="eastAsia" w:ascii="楷体_GB2312" w:hAnsi="楷体_GB2312" w:eastAsia="楷体_GB2312" w:cs="楷体_GB2312"/>
          <w:sz w:val="21"/>
          <w:szCs w:val="21"/>
        </w:rPr>
        <w:t>教材，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试题结构与题型配置合理，难度适中，必备知识、关键能力和语文素养考查兼顾，试题命制充分体现了以文化人，以素养立意的命题原则，具有很强的教学指导意义。</w:t>
      </w:r>
    </w:p>
    <w:p>
      <w:pPr>
        <w:ind w:firstLine="420" w:firstLineChars="200"/>
        <w:rPr>
          <w:rFonts w:hint="eastAsia" w:ascii="楷体_GB2312" w:hAnsi="楷体_GB2312" w:eastAsia="楷体_GB2312" w:cs="楷体_GB2312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sz w:val="21"/>
          <w:szCs w:val="21"/>
        </w:rPr>
        <w:t>本试卷内容涉及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积累运用、阅读理解与作文三大部分，其中积累运用部分包括</w:t>
      </w:r>
      <w:r>
        <w:rPr>
          <w:rFonts w:hint="eastAsia" w:ascii="楷体_GB2312" w:hAnsi="楷体_GB2312" w:eastAsia="楷体_GB2312" w:cs="楷体_GB2312"/>
          <w:sz w:val="21"/>
          <w:szCs w:val="21"/>
        </w:rPr>
        <w:t>字音字形、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句子语气、转述、词语运用（谦辞）、仿句、默写；阅读理解包括文言文比较阅读、课内现代文阅读、名著选段阅读以及课外现代文阅读。</w:t>
      </w:r>
    </w:p>
    <w:p>
      <w:pPr>
        <w:ind w:firstLine="420" w:firstLineChars="200"/>
        <w:rPr>
          <w:rFonts w:hint="eastAsia" w:ascii="楷体_GB2312" w:hAnsi="楷体_GB2312" w:eastAsia="楷体_GB2312" w:cs="楷体_GB2312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试卷题型稳中有变，其中明显变化体现在名著阅读上，选取必读名著《昆虫记》的一个语段单独作为现代文阅读理解加以训练，这不能不说是创新之举，有效促进学生课外名著阅读质量的提升应该是命题者的初衷，这样的变化显然利于学生认真读书，读整本的书。</w:t>
      </w:r>
    </w:p>
    <w:tbl>
      <w:tblPr>
        <w:tblStyle w:val="6"/>
        <w:tblW w:w="8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227"/>
        <w:gridCol w:w="1710"/>
        <w:gridCol w:w="2159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restart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一、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积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累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运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用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︵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︶</w:t>
            </w:r>
          </w:p>
        </w:tc>
        <w:tc>
          <w:tcPr>
            <w:tcW w:w="1227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题号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考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点</w:t>
            </w:r>
          </w:p>
        </w:tc>
        <w:tc>
          <w:tcPr>
            <w:tcW w:w="2159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主要存在的问题</w:t>
            </w:r>
          </w:p>
        </w:tc>
        <w:tc>
          <w:tcPr>
            <w:tcW w:w="259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1（2分）</w:t>
            </w:r>
          </w:p>
        </w:tc>
        <w:tc>
          <w:tcPr>
            <w:tcW w:w="1710" w:type="dxa"/>
          </w:tcPr>
          <w:p>
            <w:pPr>
              <w:pStyle w:val="9"/>
              <w:numPr>
                <w:ilvl w:val="0"/>
                <w:numId w:val="0"/>
              </w:numPr>
              <w:ind w:leftChars="0" w:firstLine="420" w:firstLineChars="200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pStyle w:val="9"/>
              <w:numPr>
                <w:ilvl w:val="0"/>
                <w:numId w:val="0"/>
              </w:numPr>
              <w:ind w:leftChars="0" w:firstLine="420" w:firstLineChars="200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字音字形  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（稳中求变，设置语境，落实课内词语）</w:t>
            </w:r>
          </w:p>
        </w:tc>
        <w:tc>
          <w:tcPr>
            <w:tcW w:w="2159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“褂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”“腴”的字形结构书写错误；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“跚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”“虬”的读音拼读错误。</w:t>
            </w:r>
          </w:p>
        </w:tc>
        <w:tc>
          <w:tcPr>
            <w:tcW w:w="2592" w:type="dxa"/>
          </w:tcPr>
          <w:p>
            <w:pPr>
              <w:numPr>
                <w:ilvl w:val="0"/>
                <w:numId w:val="1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谨防误读形声字；2、准确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区辨同音形近字词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；3、纠正口语化读音、习惯性误读。4、强调书写。5、关注易错点。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2（2分）</w:t>
            </w:r>
          </w:p>
        </w:tc>
        <w:tc>
          <w:tcPr>
            <w:tcW w:w="1710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句子语气指认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59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极个别人将句子语气混淆，指认不准。</w:t>
            </w:r>
          </w:p>
        </w:tc>
        <w:tc>
          <w:tcPr>
            <w:tcW w:w="2592" w:type="dxa"/>
            <w:vMerge w:val="restart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“语言文字应用”的设题均源于教材和教学，考查点和教材密切相关，基于此，用好教材，学好教材，夯实基础，才是复习备考第一步，也是培养学生语文核心素养的关键环节。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3（3分）</w:t>
            </w:r>
          </w:p>
        </w:tc>
        <w:tc>
          <w:tcPr>
            <w:tcW w:w="1710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转述短语内涵</w:t>
            </w:r>
          </w:p>
        </w:tc>
        <w:tc>
          <w:tcPr>
            <w:tcW w:w="2159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信息转述不准确、不全面。</w:t>
            </w:r>
          </w:p>
        </w:tc>
        <w:tc>
          <w:tcPr>
            <w:tcW w:w="2592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4（2分）</w:t>
            </w:r>
          </w:p>
        </w:tc>
        <w:tc>
          <w:tcPr>
            <w:tcW w:w="1710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词语运用辨别</w:t>
            </w:r>
          </w:p>
        </w:tc>
        <w:tc>
          <w:tcPr>
            <w:tcW w:w="2159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谦敬错位，不能准确地根据情境理解词语、成语的含义。</w:t>
            </w:r>
          </w:p>
        </w:tc>
        <w:tc>
          <w:tcPr>
            <w:tcW w:w="2592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5（4分）</w:t>
            </w:r>
          </w:p>
        </w:tc>
        <w:tc>
          <w:tcPr>
            <w:tcW w:w="1710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仿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写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（本题巧妙地将我国传统节日习俗融入语言运用中）</w:t>
            </w:r>
          </w:p>
        </w:tc>
        <w:tc>
          <w:tcPr>
            <w:tcW w:w="2159" w:type="dxa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未按题目要求写“传统节日”；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2、未仔细观察分析句式和内容，没抓节日习俗及其寄寓的文化内涵。</w:t>
            </w:r>
          </w:p>
        </w:tc>
        <w:tc>
          <w:tcPr>
            <w:tcW w:w="2592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1、从形式、内容两个角度指导仿写；2、增强生活积累，关注传统节日习俗：春节喜庆、清明缅怀、端午追忆、七夕忠贞、中秋团圆、重阳敬老等，引导学生了解节日的故事内涵，爱上“我们的节日”。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725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6（6分）</w:t>
            </w:r>
          </w:p>
        </w:tc>
        <w:tc>
          <w:tcPr>
            <w:tcW w:w="1710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默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写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（两首诗、两首词、一篇文）</w:t>
            </w:r>
          </w:p>
        </w:tc>
        <w:tc>
          <w:tcPr>
            <w:tcW w:w="2159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个别同学“燕脂”的“燕”的书写失分。</w:t>
            </w:r>
          </w:p>
        </w:tc>
        <w:tc>
          <w:tcPr>
            <w:tcW w:w="2592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参考中考必背古诗文，抓名篇名句。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2、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注重抓落实，注重平时细致的背诵基础，避免无谓失分。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3、强调规范书写。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1"/>
          <w:szCs w:val="21"/>
        </w:rPr>
      </w:pPr>
    </w:p>
    <w:p>
      <w:pPr>
        <w:rPr>
          <w:rFonts w:hint="eastAsia" w:ascii="楷体_GB2312" w:hAnsi="楷体_GB2312" w:eastAsia="楷体_GB2312" w:cs="楷体_GB2312"/>
          <w:sz w:val="21"/>
          <w:szCs w:val="21"/>
        </w:rPr>
      </w:pPr>
    </w:p>
    <w:p>
      <w:pPr>
        <w:rPr>
          <w:rFonts w:hint="eastAsia" w:ascii="楷体_GB2312" w:hAnsi="楷体_GB2312" w:eastAsia="楷体_GB2312" w:cs="楷体_GB2312"/>
          <w:sz w:val="21"/>
          <w:szCs w:val="21"/>
        </w:rPr>
      </w:pPr>
    </w:p>
    <w:p>
      <w:pPr>
        <w:rPr>
          <w:rFonts w:hint="eastAsia" w:ascii="楷体_GB2312" w:hAnsi="楷体_GB2312" w:eastAsia="楷体_GB2312" w:cs="楷体_GB2312"/>
          <w:sz w:val="21"/>
          <w:szCs w:val="21"/>
        </w:rPr>
      </w:pPr>
    </w:p>
    <w:p>
      <w:pPr>
        <w:rPr>
          <w:rFonts w:hint="eastAsia" w:ascii="楷体_GB2312" w:hAnsi="楷体_GB2312" w:eastAsia="楷体_GB2312" w:cs="楷体_GB2312"/>
          <w:sz w:val="21"/>
          <w:szCs w:val="21"/>
        </w:rPr>
      </w:pPr>
    </w:p>
    <w:tbl>
      <w:tblPr>
        <w:tblStyle w:val="6"/>
        <w:tblW w:w="8247" w:type="dxa"/>
        <w:tblInd w:w="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855"/>
        <w:gridCol w:w="722"/>
        <w:gridCol w:w="834"/>
        <w:gridCol w:w="2638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Merge w:val="restart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二、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阅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读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理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解</w:t>
            </w: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︵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41</w:t>
            </w:r>
          </w:p>
          <w:p>
            <w:pPr>
              <w:ind w:firstLine="210" w:firstLineChars="10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分</w:t>
            </w: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︶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restart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（一）</w:t>
            </w: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文</w:t>
            </w: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言</w:t>
            </w: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文</w:t>
            </w: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对</w:t>
            </w: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比</w:t>
            </w:r>
          </w:p>
          <w:p>
            <w:pPr>
              <w:ind w:left="239" w:leftChars="114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阅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读</w:t>
            </w: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︵</w:t>
            </w:r>
          </w:p>
          <w:p>
            <w:pPr>
              <w:ind w:left="279" w:leftChars="133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  <w:p>
            <w:pPr>
              <w:ind w:left="279" w:leftChars="133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分</w:t>
            </w:r>
          </w:p>
          <w:p>
            <w:pPr>
              <w:ind w:left="279" w:leftChars="133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︶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题号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考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点</w:t>
            </w:r>
          </w:p>
        </w:tc>
        <w:tc>
          <w:tcPr>
            <w:tcW w:w="2638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主要存在问题</w:t>
            </w:r>
          </w:p>
        </w:tc>
        <w:tc>
          <w:tcPr>
            <w:tcW w:w="2440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ind w:left="279" w:leftChars="133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︵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︶</w:t>
            </w:r>
          </w:p>
        </w:tc>
        <w:tc>
          <w:tcPr>
            <w:tcW w:w="834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实词理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解</w:t>
            </w:r>
          </w:p>
        </w:tc>
        <w:tc>
          <w:tcPr>
            <w:tcW w:w="2638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课外词语“辍然”的理解错误率较高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2、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课外文言文句子翻译中，对提供的注释③“喧：遗忘”不能放在语境中运用；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3、课内句子翻译“出则无敌国外患者”中“外患”漏译。</w:t>
            </w:r>
          </w:p>
        </w:tc>
        <w:tc>
          <w:tcPr>
            <w:tcW w:w="2440" w:type="dxa"/>
            <w:vMerge w:val="restart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实词释义力争精准，不能凭感觉随意翻译。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落实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重点词语的理解，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特别是对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通假字、古今异义词、词类活用、一词多义、使动用法等的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归纳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。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字词注释是理解阅读材料的工具，教学中要有意识地引导学生结合语境弄懂字词的正确义项，秉持“得法课内，施法课外”的基本原则，指导学生在运用中积累，在积累中运用。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722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︵</w:t>
            </w: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4分</w:t>
            </w: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︶</w:t>
            </w:r>
          </w:p>
        </w:tc>
        <w:tc>
          <w:tcPr>
            <w:tcW w:w="834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句子翻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译</w:t>
            </w:r>
          </w:p>
        </w:tc>
        <w:tc>
          <w:tcPr>
            <w:tcW w:w="2638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2440" w:type="dxa"/>
            <w:vMerge w:val="continue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722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  <w:p>
            <w:pPr>
              <w:ind w:firstLine="210" w:firstLineChars="100"/>
              <w:jc w:val="right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︵</w:t>
            </w: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2分</w:t>
            </w:r>
          </w:p>
          <w:p>
            <w:pPr>
              <w:ind w:firstLine="210" w:firstLineChars="100"/>
              <w:jc w:val="right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︶</w:t>
            </w:r>
          </w:p>
        </w:tc>
        <w:tc>
          <w:tcPr>
            <w:tcW w:w="834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表达特点对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比</w:t>
            </w:r>
          </w:p>
        </w:tc>
        <w:tc>
          <w:tcPr>
            <w:tcW w:w="2638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审题不清，未能从“表达”特点的角度对甲、乙两文进行整体上的比较。</w:t>
            </w:r>
          </w:p>
        </w:tc>
        <w:tc>
          <w:tcPr>
            <w:tcW w:w="2440" w:type="dxa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要有文体意识；</w:t>
            </w:r>
          </w:p>
          <w:p>
            <w:pPr>
              <w:numPr>
                <w:ilvl w:val="0"/>
                <w:numId w:val="2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养成认真审题的习惯；</w:t>
            </w:r>
          </w:p>
          <w:p>
            <w:pPr>
              <w:numPr>
                <w:ilvl w:val="0"/>
                <w:numId w:val="2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将课内学习与课外阅读结合起来，提升学生比较分析能力与整合思维能力。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758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722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right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︵</w:t>
            </w:r>
          </w:p>
          <w:p>
            <w:pPr>
              <w:jc w:val="right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2分</w:t>
            </w:r>
          </w:p>
          <w:p>
            <w:pPr>
              <w:ind w:firstLine="210" w:firstLineChars="100"/>
              <w:jc w:val="right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︶</w:t>
            </w:r>
          </w:p>
        </w:tc>
        <w:tc>
          <w:tcPr>
            <w:tcW w:w="834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内容理解、主题把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握</w:t>
            </w:r>
          </w:p>
        </w:tc>
        <w:tc>
          <w:tcPr>
            <w:tcW w:w="2638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极个别学生能理解文意，但是表述模糊，教子方法的独特之处的概括欠妥。第二问“这个故事说明了什么道理”旨在考查学生对古代文化的理解——读懂古人在精神上的洗礼、品德上的修炼、思想上的改造，但个别学生未能从这一高度加以综合概括。</w:t>
            </w:r>
          </w:p>
        </w:tc>
        <w:tc>
          <w:tcPr>
            <w:tcW w:w="2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解答这类试题，一是首先读懂文章，弄清文章的主题、内容和情感等，以此作基础；二是要清楚回答的范围，明确题目的要求；三是要善于联系生活实际；四是要善于延伸、善于归纳总结。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21"/>
          <w:szCs w:val="21"/>
        </w:rPr>
      </w:pPr>
    </w:p>
    <w:tbl>
      <w:tblPr>
        <w:tblStyle w:val="6"/>
        <w:tblW w:w="8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014"/>
        <w:gridCol w:w="985"/>
        <w:gridCol w:w="1097"/>
        <w:gridCol w:w="1926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vMerge w:val="restart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二、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阅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读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理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解</w:t>
            </w:r>
          </w:p>
        </w:tc>
        <w:tc>
          <w:tcPr>
            <w:tcW w:w="1014" w:type="dxa"/>
            <w:vMerge w:val="restart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（二）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课内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现代文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《背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影》</w:t>
            </w: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（6分）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5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题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097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考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点</w:t>
            </w:r>
          </w:p>
        </w:tc>
        <w:tc>
          <w:tcPr>
            <w:tcW w:w="192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主要存在问题</w:t>
            </w:r>
          </w:p>
        </w:tc>
        <w:tc>
          <w:tcPr>
            <w:tcW w:w="2519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36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014" w:type="dxa"/>
            <w:vMerge w:val="continue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5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（4分）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语言赏析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26" w:type="dxa"/>
          </w:tcPr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1、动词列举不全、不准；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2、效果表述角度单一，不全面。</w:t>
            </w:r>
          </w:p>
        </w:tc>
        <w:tc>
          <w:tcPr>
            <w:tcW w:w="2519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1、要养成答题的规范意识；2、表达效果的总结可从写作的内容、特点，表达的情感等角度归纳。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014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985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（2分）</w:t>
            </w:r>
          </w:p>
        </w:tc>
        <w:tc>
          <w:tcPr>
            <w:tcW w:w="1097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结合语境，探究原因</w:t>
            </w:r>
          </w:p>
        </w:tc>
        <w:tc>
          <w:tcPr>
            <w:tcW w:w="1926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不能扣住语境，分条表述流泪的原因。</w:t>
            </w:r>
          </w:p>
        </w:tc>
        <w:tc>
          <w:tcPr>
            <w:tcW w:w="2519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重视学生多维度探究文本信息，强化具体作答的意识。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1"/>
          <w:szCs w:val="21"/>
        </w:rPr>
      </w:pPr>
    </w:p>
    <w:p>
      <w:pPr>
        <w:rPr>
          <w:rFonts w:hint="eastAsia" w:ascii="楷体_GB2312" w:hAnsi="楷体_GB2312" w:eastAsia="楷体_GB2312" w:cs="楷体_GB2312"/>
          <w:sz w:val="21"/>
          <w:szCs w:val="21"/>
        </w:rPr>
      </w:pPr>
    </w:p>
    <w:tbl>
      <w:tblPr>
        <w:tblStyle w:val="6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81"/>
        <w:gridCol w:w="1040"/>
        <w:gridCol w:w="1296"/>
        <w:gridCol w:w="1732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restart"/>
          </w:tcPr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二、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阅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读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理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解</w:t>
            </w:r>
          </w:p>
        </w:tc>
        <w:tc>
          <w:tcPr>
            <w:tcW w:w="981" w:type="dxa"/>
            <w:vMerge w:val="restart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（三）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课外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名著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阅读《昆虫记》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选段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9分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题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29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考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点</w:t>
            </w:r>
          </w:p>
        </w:tc>
        <w:tc>
          <w:tcPr>
            <w:tcW w:w="173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主要存在问题</w:t>
            </w:r>
          </w:p>
        </w:tc>
        <w:tc>
          <w:tcPr>
            <w:tcW w:w="2522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981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0" w:type="dxa"/>
          </w:tcPr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（3分）</w:t>
            </w:r>
          </w:p>
        </w:tc>
        <w:tc>
          <w:tcPr>
            <w:tcW w:w="1296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筛选信息的能力</w:t>
            </w:r>
          </w:p>
        </w:tc>
        <w:tc>
          <w:tcPr>
            <w:tcW w:w="1732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本题学生作答准确率较高</w:t>
            </w:r>
          </w:p>
        </w:tc>
        <w:tc>
          <w:tcPr>
            <w:tcW w:w="2522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养成学生把握文中标志性的、有明确指向性的词语。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981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</w:tcPr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（3分）</w:t>
            </w:r>
          </w:p>
        </w:tc>
        <w:tc>
          <w:tcPr>
            <w:tcW w:w="1296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说明文语言的特点</w:t>
            </w:r>
          </w:p>
        </w:tc>
        <w:tc>
          <w:tcPr>
            <w:tcW w:w="1732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表述不能扣住说明文语言的准确性来答，只是泛泛而谈。</w:t>
            </w:r>
          </w:p>
        </w:tc>
        <w:tc>
          <w:tcPr>
            <w:tcW w:w="2522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回答这类题要养成有效的答题思路，先解词，再结合语境带词解句，从而体会语言的准确性。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981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</w:tcPr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（3分）</w:t>
            </w:r>
          </w:p>
        </w:tc>
        <w:tc>
          <w:tcPr>
            <w:tcW w:w="1296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句子在结构上的作用</w:t>
            </w:r>
          </w:p>
        </w:tc>
        <w:tc>
          <w:tcPr>
            <w:tcW w:w="1732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表述时，只是笼统地回答了“承上启下”，答题时未能看清分值，没有写出“承上”“启下”的具体内容。</w:t>
            </w:r>
          </w:p>
        </w:tc>
        <w:tc>
          <w:tcPr>
            <w:tcW w:w="2522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重视审题，看清题目要求，养成根据分值具体答题的习惯。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1"/>
          <w:szCs w:val="21"/>
        </w:rPr>
      </w:pPr>
    </w:p>
    <w:p>
      <w:pPr>
        <w:rPr>
          <w:rFonts w:hint="eastAsia" w:ascii="楷体_GB2312" w:hAnsi="楷体_GB2312" w:eastAsia="楷体_GB2312" w:cs="楷体_GB2312"/>
          <w:sz w:val="21"/>
          <w:szCs w:val="21"/>
        </w:rPr>
      </w:pPr>
    </w:p>
    <w:tbl>
      <w:tblPr>
        <w:tblStyle w:val="6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71"/>
        <w:gridCol w:w="1040"/>
        <w:gridCol w:w="1306"/>
        <w:gridCol w:w="1732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restart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二、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阅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读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理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解</w:t>
            </w:r>
          </w:p>
        </w:tc>
        <w:tc>
          <w:tcPr>
            <w:tcW w:w="971" w:type="dxa"/>
            <w:vMerge w:val="restart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（四）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课外现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代文《鸟窝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菊花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》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(13分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04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题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考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点</w:t>
            </w:r>
          </w:p>
        </w:tc>
        <w:tc>
          <w:tcPr>
            <w:tcW w:w="173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主要存在问题</w:t>
            </w:r>
          </w:p>
        </w:tc>
        <w:tc>
          <w:tcPr>
            <w:tcW w:w="2512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841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971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040" w:type="dxa"/>
          </w:tcPr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（4分）</w:t>
            </w:r>
          </w:p>
        </w:tc>
        <w:tc>
          <w:tcPr>
            <w:tcW w:w="1306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特点概括</w:t>
            </w:r>
          </w:p>
        </w:tc>
        <w:tc>
          <w:tcPr>
            <w:tcW w:w="1732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概括不准、个别人没有用词语加以概括。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审清题意，要引导学生深入文本，结合具体句子筛选信息，提炼概括。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1"/>
          <w:szCs w:val="21"/>
        </w:rPr>
      </w:pPr>
    </w:p>
    <w:p>
      <w:pPr>
        <w:rPr>
          <w:rFonts w:hint="eastAsia" w:ascii="楷体_GB2312" w:hAnsi="楷体_GB2312" w:eastAsia="楷体_GB2312" w:cs="楷体_GB2312"/>
          <w:sz w:val="21"/>
          <w:szCs w:val="21"/>
        </w:rPr>
      </w:pPr>
    </w:p>
    <w:tbl>
      <w:tblPr>
        <w:tblStyle w:val="6"/>
        <w:tblW w:w="8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73"/>
        <w:gridCol w:w="1072"/>
        <w:gridCol w:w="1082"/>
        <w:gridCol w:w="1932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842" w:type="dxa"/>
            <w:vMerge w:val="restart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二、</w:t>
            </w:r>
          </w:p>
          <w:p>
            <w:pPr>
              <w:ind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阅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读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理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解</w:t>
            </w:r>
          </w:p>
        </w:tc>
        <w:tc>
          <w:tcPr>
            <w:tcW w:w="973" w:type="dxa"/>
            <w:vMerge w:val="restart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（四）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课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外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现代文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《鸟窝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菊花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》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(13分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题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08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考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点</w:t>
            </w:r>
          </w:p>
        </w:tc>
        <w:tc>
          <w:tcPr>
            <w:tcW w:w="193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主要存在问题</w:t>
            </w:r>
          </w:p>
        </w:tc>
        <w:tc>
          <w:tcPr>
            <w:tcW w:w="251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教学建议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842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973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072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17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（4分）</w:t>
            </w:r>
          </w:p>
        </w:tc>
        <w:tc>
          <w:tcPr>
            <w:tcW w:w="1082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语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言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赏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析</w:t>
            </w:r>
          </w:p>
        </w:tc>
        <w:tc>
          <w:tcPr>
            <w:tcW w:w="1932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句子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1：</w:t>
            </w:r>
          </w:p>
          <w:p>
            <w:pPr>
              <w:numPr>
                <w:ilvl w:val="0"/>
                <w:numId w:val="3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未能写出景物描写对喜鹊窝的烘托作用；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2、对喜鹊窝的特点概括不准确；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3、没有把握住作者融汇在文章中的主观感受，未能挖掘出文章的主题思想。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句子2：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重在赏析句子的表达效果，但是学生句意把握不到位，未能从整体上把握三个词语的内在联系。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丁立梅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散文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文笔细腻，清新温婉，意境隽永。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往往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在看似平淡寻常的小场景小事件中，传递着爱与感动。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这篇文质兼美的散文其内容与形式相辅相成，浑然一体。解答这类语言赏析题，在平时注重训练的基础上，解题时要树立术语意识、语境意识、要点意识、规范意识，从三方面入手思考作答：运用的手法，语句的表现力，透过纷繁复杂的文学表象揭示文字背后的思想情感内涵，解答指向作品的主题。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842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973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072" w:type="dxa"/>
          </w:tcPr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18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（3分）</w:t>
            </w:r>
          </w:p>
        </w:tc>
        <w:tc>
          <w:tcPr>
            <w:tcW w:w="1082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句段作用分析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932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部分学生答不到写作手法（对比），喜鹊的形象特点概括不到位。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从学生答题情况看，得分不太理想。教学中，不能只关注技巧训练，如学生生硬回答“为下文做铺垫，推动情节发展”等套话，更重要的是要引导学生进行具体分析，深入阅读，体悟作者写作意图。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842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973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072" w:type="dxa"/>
          </w:tcPr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（2分）</w:t>
            </w:r>
          </w:p>
        </w:tc>
        <w:tc>
          <w:tcPr>
            <w:tcW w:w="1082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内容理解</w:t>
            </w:r>
          </w:p>
        </w:tc>
        <w:tc>
          <w:tcPr>
            <w:tcW w:w="1932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本题准确率比较高。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这类选择题要能代入文本，结合具体语境、创作意图、作品主旨等多角度地进行判断。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1"/>
          <w:szCs w:val="21"/>
        </w:rPr>
      </w:pPr>
    </w:p>
    <w:tbl>
      <w:tblPr>
        <w:tblStyle w:val="6"/>
        <w:tblW w:w="8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06"/>
        <w:gridCol w:w="970"/>
        <w:gridCol w:w="1523"/>
        <w:gridCol w:w="4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restart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三、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写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作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题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970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考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点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主要存在问题</w:t>
            </w:r>
          </w:p>
        </w:tc>
        <w:tc>
          <w:tcPr>
            <w:tcW w:w="400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eastAsia="zh-CN"/>
              </w:rPr>
              <w:t>题解与导写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7" w:hRule="atLeast"/>
        </w:trPr>
        <w:tc>
          <w:tcPr>
            <w:tcW w:w="841" w:type="dxa"/>
            <w:vMerge w:val="continue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</w:pPr>
          </w:p>
        </w:tc>
        <w:tc>
          <w:tcPr>
            <w:tcW w:w="1106" w:type="dxa"/>
          </w:tcPr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（40分）</w:t>
            </w:r>
          </w:p>
        </w:tc>
        <w:tc>
          <w:tcPr>
            <w:tcW w:w="970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记叙文写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作</w:t>
            </w:r>
          </w:p>
        </w:tc>
        <w:tc>
          <w:tcPr>
            <w:tcW w:w="1523" w:type="dxa"/>
          </w:tcPr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  <w:t>作文立意一般，选材尚可，内容不够具体；语言直白，有少量语病，写作技巧欠缺。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07" w:type="dxa"/>
            <w:vAlign w:val="top"/>
          </w:tcPr>
          <w:p>
            <w:pPr>
              <w:ind w:firstLine="420" w:firstLineChars="200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这是一篇开放性很强的命题作文，命题形式稳定，作文提示语以一连串拟人化的“心愿”铺陈开去，给学生以启发，让学生人人有话可写，人人有情可抒。这个心愿不是突发奇想，不是心血来潮，不是无中生有，不能信口开河，而应该是许久以来萦绕在心底的思绪、情结、愿望，是久久不能释怀的情意情感，不吐不快。这一个心愿可以是小到对学业的期待，对身边亲友的祝福与关怀，大到国家的进步富强、民族复兴，不一而足，皆可为心愿，但只能精选一个。</w:t>
            </w:r>
          </w:p>
          <w:p>
            <w:pPr>
              <w:ind w:firstLine="480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这个题目的主语是“我”，这就要求写作时以“我”为主体对象，回忆自己的经历，书写自己内心的情愫，写作本文时务必注意立足自我，我手写我心，围绕“我”作真诚地情感表达，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吐露心声，打开内心深处倾诉的阀门，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让美好的心灵愿景自然流淌；找准感情的触媒点，在细节的综合描写中释放情感的力量，不管从哪个角度选材，都要通过具体的事例或典型形象的塑造来传情达意。</w:t>
            </w:r>
          </w:p>
          <w:p>
            <w:pP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ind w:firstLine="723" w:firstLineChars="200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教与学的总体建议</w:t>
      </w:r>
    </w:p>
    <w:p>
      <w:pPr>
        <w:numPr>
          <w:ilvl w:val="0"/>
          <w:numId w:val="4"/>
        </w:numPr>
        <w:ind w:firstLine="420" w:firstLineChars="200"/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注重夯实基础：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基础知识分值占比较重，考查点也更加全面，几乎涵盖了教材涉及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的所有知识点，这就要求我们在平时教学的过程中注重基础知识点的系统教学。</w:t>
      </w:r>
    </w:p>
    <w:p>
      <w:pPr>
        <w:numPr>
          <w:ilvl w:val="0"/>
          <w:numId w:val="4"/>
        </w:numPr>
        <w:ind w:left="0" w:leftChars="0" w:firstLine="420" w:firstLineChars="200"/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加强专项练习：在教学过程中创造一种开放的，和谐的，积极互动的语言氛围，侧重于专项学习方法，培养学生解题思维能力，继续强化听、说、读、写的能力。</w:t>
      </w:r>
    </w:p>
    <w:p>
      <w:pPr>
        <w:ind w:firstLine="420" w:firstLineChars="200"/>
        <w:rPr>
          <w:rFonts w:hint="eastAsia" w:ascii="楷体_GB2312" w:hAnsi="楷体_GB2312" w:eastAsia="楷体_GB2312" w:cs="楷体_GB2312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3、注重文本内容的理解：加强对课内文章内容和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情感的理解，梳理文本思路，把握作者的情感。既要求学生对常规高频题型的熟练掌握，更需要学生掌握题型的变化问法，对文本细节的关注，所以在平常的学习中要更注重训练学生文本解析的能力。</w:t>
      </w:r>
    </w:p>
    <w:p>
      <w:pPr>
        <w:ind w:firstLine="420" w:firstLineChars="200"/>
        <w:rPr>
          <w:rFonts w:hint="eastAsia" w:ascii="楷体_GB2312" w:hAnsi="楷体_GB2312" w:eastAsia="楷体_GB2312" w:cs="楷体_GB2312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4、关注传统、时代，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强化语文核心能力的培养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纵观全卷，涉及传统节日习俗、人文美德、故土情节等与传统文化、时代有关的素材信息，注重培养学生正确的文化观，激发学生对于文化的使命感和责任感，更要求学生走出课堂，参与社会实践，了解时代特征，从生活中学习语文。教学中要着眼于学生的体验，注重教材传统文化知识的梳理，随文积累；对渗透核心价值观的人物事迹、新闻事件和文学作品的材料要注意训练，以提升学生对现实生活和时代精神的认识。</w:t>
      </w:r>
    </w:p>
    <w:p>
      <w:pPr>
        <w:ind w:firstLine="420" w:firstLineChars="200"/>
        <w:rPr>
          <w:rFonts w:hint="eastAsia" w:ascii="楷体_GB2312" w:hAnsi="楷体_GB2312" w:eastAsia="楷体_GB2312" w:cs="楷体_GB2312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胸无母语本难固，腹有诗书气自华，学好母语是对每一个中华学子最基本的要求。这要求我们从自身工作抓起，发挥第一课堂主渠道作用，在教学、研究体系中坚守中华民族的文化基因和精神命脉，不断提升学生的人文素养和关键能力。</w:t>
      </w:r>
    </w:p>
    <w:p>
      <w:pPr>
        <w:ind w:firstLine="420" w:firstLineChars="200"/>
        <w:rPr>
          <w:rFonts w:hint="eastAsia" w:ascii="楷体_GB2312" w:hAnsi="楷体_GB2312" w:eastAsia="楷体_GB2312" w:cs="楷体_GB2312"/>
          <w:sz w:val="21"/>
          <w:szCs w:val="21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u w:val="single"/>
        <w:lang w:val="en-US" w:eastAsia="zh-CN"/>
      </w:rPr>
    </w:pPr>
    <w:r>
      <w:rPr>
        <w:rFonts w:hint="eastAsia"/>
        <w:u w:val="single"/>
        <w:lang w:val="en-US" w:eastAsia="zh-CN"/>
      </w:rPr>
      <w:t>八年级语文质量评估报告                                           溧阳市教师发展中心   中语组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95FA11"/>
    <w:multiLevelType w:val="singleLevel"/>
    <w:tmpl w:val="C195FA1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C590DA5"/>
    <w:multiLevelType w:val="singleLevel"/>
    <w:tmpl w:val="1C590DA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A91910C"/>
    <w:multiLevelType w:val="singleLevel"/>
    <w:tmpl w:val="4A91910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FD5F1BB"/>
    <w:multiLevelType w:val="singleLevel"/>
    <w:tmpl w:val="5FD5F1B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800FC"/>
    <w:rsid w:val="00C10012"/>
    <w:rsid w:val="05871141"/>
    <w:rsid w:val="0B751E6B"/>
    <w:rsid w:val="0BEE1A93"/>
    <w:rsid w:val="0D340A00"/>
    <w:rsid w:val="0D8A1E1F"/>
    <w:rsid w:val="10590B71"/>
    <w:rsid w:val="13CC7024"/>
    <w:rsid w:val="16603E6F"/>
    <w:rsid w:val="172C5F48"/>
    <w:rsid w:val="18D601E5"/>
    <w:rsid w:val="1A9663F9"/>
    <w:rsid w:val="20033673"/>
    <w:rsid w:val="215F55E5"/>
    <w:rsid w:val="21884777"/>
    <w:rsid w:val="21AE5F9B"/>
    <w:rsid w:val="21FE1875"/>
    <w:rsid w:val="222108A4"/>
    <w:rsid w:val="22BF7555"/>
    <w:rsid w:val="258563D9"/>
    <w:rsid w:val="28A35ECF"/>
    <w:rsid w:val="29F71068"/>
    <w:rsid w:val="2A3800FC"/>
    <w:rsid w:val="2A57443D"/>
    <w:rsid w:val="2ABC1E06"/>
    <w:rsid w:val="2BD03E2C"/>
    <w:rsid w:val="2D8E0D81"/>
    <w:rsid w:val="2FDD4C49"/>
    <w:rsid w:val="30EF579A"/>
    <w:rsid w:val="321B25E8"/>
    <w:rsid w:val="33CF51E3"/>
    <w:rsid w:val="35F86745"/>
    <w:rsid w:val="36A30D1F"/>
    <w:rsid w:val="36CB7368"/>
    <w:rsid w:val="37BA2D58"/>
    <w:rsid w:val="3FE93A70"/>
    <w:rsid w:val="3FFA6E7A"/>
    <w:rsid w:val="420B3B87"/>
    <w:rsid w:val="421A2B34"/>
    <w:rsid w:val="42245625"/>
    <w:rsid w:val="4AD605EC"/>
    <w:rsid w:val="4D647C5B"/>
    <w:rsid w:val="4E315C23"/>
    <w:rsid w:val="50CB6AF8"/>
    <w:rsid w:val="527E6F9F"/>
    <w:rsid w:val="541C0E86"/>
    <w:rsid w:val="563D75E7"/>
    <w:rsid w:val="58D9249E"/>
    <w:rsid w:val="5982667D"/>
    <w:rsid w:val="59CE4376"/>
    <w:rsid w:val="5C556E9A"/>
    <w:rsid w:val="5DAF767B"/>
    <w:rsid w:val="5E0043DC"/>
    <w:rsid w:val="609022DE"/>
    <w:rsid w:val="68B47015"/>
    <w:rsid w:val="68E24F92"/>
    <w:rsid w:val="69E62C67"/>
    <w:rsid w:val="740B478E"/>
    <w:rsid w:val="75FA6950"/>
    <w:rsid w:val="79451E95"/>
    <w:rsid w:val="7D4B46D7"/>
    <w:rsid w:val="7E7C2EF0"/>
    <w:rsid w:val="7FE0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2020-01-12T06:12:00Z</dcterms:created>
  <dc:creator>透亮</dc:creator>
  <cp:lastModifiedBy>NTKO</cp:lastModifiedBy>
  <dcterms:modified xsi:type="dcterms:W3CDTF">2015-12-31T17:06:40Z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