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在自主中“见”成长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jc w:val="center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           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 xml:space="preserve"> ——浅谈在一日生活中如何渗透能力的培养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560" w:firstLineChars="200"/>
        <w:jc w:val="center"/>
        <w:textAlignment w:val="auto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溧阳实验幼儿园清安园区  卢星梅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482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现状分析：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在现阶段的幼儿教育中，我们常常看见“自主”两个字，要让孩子成为学习的小主人。而现在我们经常看到或者听到家长乃至同行的抱怨：“这哪是自主呀？明明是自由，放任孩子的行为，让孩子自由自在，无拘无束，而能力的培养似乎离孩子渐行渐远……”听到这样的话语我尝尝感觉无奈，怎样的活动对孩子来说是自主的，如何在“自主”理念下有意识地帮助孩子提高和发展自己的潜在能力，这是当下我们迫切需要解决的问题，让大家能自信的说出：在自主中能见成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2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实际上，这里的“自主”并不是自由，我们所知道的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自主就是遇事有主见，能对自己的行为负责，而自主不仅是一种权利，更是一种能力。一个没有主见的人，很难在今后的生活中自立。我们需要从小培养孩子独立自主的良好品质，这将对孩子的一生都有着良好的奠基作用。那么在自主的背景下如何贯穿对孩子能力的培养呢？我将从以下几个方面阐述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20" w:lineRule="exact"/>
        <w:ind w:left="0" w:leftChars="0" w:firstLine="482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个性化的班本活动聚焦幼儿学习能力的培养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散步时，一块特殊的摆件吸引孩子的目光：“这是什么”“上面有许多花纹”“它是石头吗”……孩子意见不一、问题不断，他们的兴趣、探究欲望就此萌发，为了培养孩子的关键经验、概念、能力、合作探索、可迁移的问题能力，我基于孩子的兴趣、开展班本活动“神秘之石”和孩子一起经历了确定“石头”的探究内容、并形成网络图，与孩子共同发现、交流、分享调查结果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（一）儿童视角下的课程确立——问“石”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在儿童视角下的主题确立，着眼孩子的最近发展区，在这里教师的作用是激发兴趣，引发思考，创设情境和机会，提供支架，搭建平台等，充分体现了关注幼儿经验，为幼儿学习创设条件的理念。教师追随幼儿的兴趣，我们开始广泛收集、记录幼儿的问题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（表1）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，因为问题可初步勾勒出探究石头的路径、筛选出探究点。我们通过谈话和讨论、调查问卷等形式，引导幼儿表达关注的问题，捕捉幼儿的兴趣点，让他们关注进一步关注石头，为课程实施做好准备。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1265" w:firstLineChars="6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-193040</wp:posOffset>
            </wp:positionH>
            <wp:positionV relativeFrom="paragraph">
              <wp:posOffset>213360</wp:posOffset>
            </wp:positionV>
            <wp:extent cx="2275205" cy="2084705"/>
            <wp:effectExtent l="0" t="0" r="10795" b="10795"/>
            <wp:wrapNone/>
            <wp:docPr id="9" name="图片 7" descr="fde034e46d93df4abfbbf30dda002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 descr="fde034e46d93df4abfbbf30dda002c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75205" cy="2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表1                                             图1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2748280</wp:posOffset>
            </wp:positionH>
            <wp:positionV relativeFrom="paragraph">
              <wp:posOffset>20320</wp:posOffset>
            </wp:positionV>
            <wp:extent cx="2539365" cy="1860550"/>
            <wp:effectExtent l="0" t="0" r="13335" b="6350"/>
            <wp:wrapNone/>
            <wp:docPr id="14" name="图片 4" descr="3e95f73a9e82092912554c00610be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" descr="3e95f73a9e82092912554c00610be2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39365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20" w:lineRule="exact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我们通过网上查阅石头的相关资料和头脑风暴，记录收集到的石头的相关信息，以关键词的形式记录在思维导图上（图1），并将孩子们的问题也引入思维导图的建构过程中。这样有助于拓宽思维的广度和深度，在头脑中形成关于石头的知识网，也可以更好地预测幼儿探究的兴趣点，预设活动内容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问题驱动下的课程梳理——理“石”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头脑风暴后的活动内容丰富但零散，主题活动开展的线索还不是很明晰，需要进一步开展对主题的梳理，确定主题开展的脉络。于是，我们通过课程审议梳理活动的主要线索，寻找可以扩展的内容及相关资源。班级审议过程中，我们把前期梳理出的探究点讲给幼儿听，看他们有没有兴趣，兴趣在哪里，想做什么。经过幼儿参与其中的班级初次审议，我们整理出以下主要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="63" w:afterLines="20" w:line="420" w:lineRule="exact"/>
        <w:ind w:firstLine="630" w:firstLineChars="300"/>
        <w:jc w:val="left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88265</wp:posOffset>
            </wp:positionV>
            <wp:extent cx="6505575" cy="1872615"/>
            <wp:effectExtent l="0" t="0" r="9525" b="13335"/>
            <wp:wrapNone/>
            <wp:docPr id="6" name="图片 19" descr="}_EV5)MVT{K82A9}(JMI%(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9" descr="}_EV5)MVT{K82A9}(JMI%(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/>
        <w:jc w:val="center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/>
        <w:jc w:val="center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/>
        <w:jc w:val="center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/>
        <w:jc w:val="center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/>
        <w:jc w:val="center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2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（三）思维发展下的活动探究——玩“石”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1.把握可能，合理预设，灵活推进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42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779145</wp:posOffset>
            </wp:positionV>
            <wp:extent cx="4946015" cy="3368675"/>
            <wp:effectExtent l="0" t="0" r="6985" b="3175"/>
            <wp:wrapNone/>
            <wp:docPr id="1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336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区域是幼儿个性化学习的主要场所；区域游戏是他们尝试探究、解决问题的最好途径，也是最适宜幼儿的学习方式之一。我们将收集的石头分类整理后投放到区域中，幼儿从自主探究开始，体验着玩石的多种可能性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2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2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2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2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2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2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2.基于观察，跟进支持，优化调整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我们尽量创造宽松的环境，最大限度地支持和满足幼儿通过直接感知、实际操作和亲身体验获取经验的需要，拓展他们在活动中的经验。幼儿遇到了各种疑惑和问题，我们鼓励他们大胆提出问题，并以问题为导向，重新分析幼儿对于石头的兴趣倾向与可利用的价值点。基于观察幼儿在活动中的行为表现，我们通过提供适宜材料、组织交流分享等方式支持他们开展操作、实验等活动，助推活动深入开展，引导他们通过自己的发现主动建构相关的知识经验，体验自主学习以及解决问题过程的成就感。对幼儿行为的观察和分析是课程优化调整的基石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经验提升：“一块石头，一个故事；一种探究，一种惊喜”。“石头记”追随着幼儿对一块奇石的好奇而生发，经历了问石的期待，感受了寻石、玩石的快乐。课程从幼儿熟悉的、感兴趣的石头入手，通过开展与石头有关的系列活动，引导幼儿进一步感知石头的特性、了解石头的作用、认识石头种类的多样性。孩子们走进了石头的世界，在真实的情境中去触摸、去聆听、去观察、去探究，他们交流着自己的发现，享受着探究、发现和创造的乐趣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20" w:lineRule="exact"/>
        <w:ind w:left="0" w:leftChars="0" w:firstLine="482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支持性的班级环境聚焦幼儿学习品质的提升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48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我们知道环境对儿童的学习与成长有着不可或缺的作用。然而，我们要为儿童创设平等、合理的情感支持以及健康、安全、支持儿童学习的有效环境。要学会用环境代替说话，做孩子看得懂的环境，让孩子参与到班级管理中来。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将任务意识在环境中彰显，提醒孩子独立、主动完成任务。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480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（一）“小问题”引思考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20" w:lineRule="exact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 在美工区中常常发现：孩子需要老师坐在那里手把手的教；每周的美术作品都拖到很久才能完成；《幼儿画册》总因为请假等原因漏写……怎样让孩子自主完成学习任务？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我决定从培养孩子的任务意识做起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通过任务意识的的锻炼，使孩子了解什么是任务。通过任务意识的锻炼，可以培养孩子的学习能力。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514" w:firstLineChars="200"/>
        <w:jc w:val="left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8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8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（二）“任务墙”初尝试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544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开学初，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我让孩子们准备了一本任务本，每次完成任务以后记录一下，这样我和家长都可以通过记录本了解孩子的任务完成情况。在第一次记录时，我们发现，小部分孩子能记住任务，并按时完成，而大部分孩子会忘记任务是什么，所以，我在环境中制作了一个任务板块，一般每周有3-4个任务，如：做一次值日生、科学区中探究“磁铁的秘密”、益智区中“数的分成”等等。在每周一将本周任务内容放进去，孩子们有一周的时间可以完成这些任务，到周五放学前，与孩子一起回顾本周任务完成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544"/>
        <w:jc w:val="left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（三）“点赞墙”助成长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544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前两周，孩子完成任务的积极性比较高，可过了两个星期，又出现孩子任务没有完成的情况。因此，我分析，虽然每周都会回顾任务完成情况，但孩子在失去新鲜感之后积极性也大大减弱，怎样提高孩子的积极性呢？我们知道，每个孩子都喜欢表扬与赞美，让孩子在鼓励与赞美中成长，提高孩子的自信心与积极性。于是，我又在环境中创设点赞墙，为任务完成好的孩子点赞，这样既培养了孩子的任务意识也让老师省力，在学期末，这也会成为我班孩子们评选好孩子的依据之一。“任务墙”设置以后，我经常听到孩子们说：“老师，我已经完成2个任务了。”“老师，我还有一个任务没有完成。”“老师，我的任务全部完成了，我可以点一个赞吗？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544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经验提升：任务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意识的培养对孩子的终身发展也有着不可或缺的重要意义，让幼儿明确自己的“任务”是什么，能自己规划时间、记录任务完成情况，教师每一次的评价让孩子获得自我成就感，让环境代替语言，成为孩子自主发展的新动力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20" w:lineRule="exact"/>
        <w:ind w:left="0" w:leftChars="0" w:firstLine="482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合理的区域空间聚焦幼儿问题意识的发展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在学习了的《0-8岁儿童学习环境创设》这本书，书中对提到：科学区要创设安静的空间、接近水槽，在窗户附近等。结合幼儿园班级质量提升等级评估与说明，对于我们班的科探区创设，分为科学区、益智区、自然角三个子版块。然而，在调整中，地点的不固定使得孩子游戏现场比较混乱，孩子不能安安静静地完成自己的任务，而科学区是需要孩子完成一些任务。然而，幼儿对熟悉的物品、熟悉的环境都会感到舒适、有安全感。之后，为了使孩子在班级中有归属感，为孩子建立依恋关系，我和孩子在们一起商讨、规划区域空间的设置。在操作探索中决定将科学区固定在教室内离水槽比较近的位置，将益智区与自然观察区放在了室外，其中走廊和操场廊道固定为益智区，用栅栏将草地围成一个饲养角，以此满足孩子的个性化需求。除了将各个区域固定下来，还为幼儿创设了集体分享区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根据孩子当下经验，我在科学区中创设了：石头的发热、石头的沉与浮等活动。益智区中创设了自然测量、棋类、七巧板、迷宫等活动。在自然角中，孩子们自发从家中带来了金鱼、乌龟、小兔、豚鼠、仓鼠、泥鳅等动物，我在草地上用栅栏为了一个饲养角，幼儿可以在区域时间去观察、照顾动物，并将自己的观察发现画出来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482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  <w:t>经验提升：通过对科探区三个子版块进行了研究与基本调整，室内与室外的联通、充分、合理地运用空间。现在，我们班的科学区能很顺利的开展、活动质量也比较高，让孩子成为区域的主人。既要保证孩子间的相互交流、共同合作，又注意不相互干扰，从而使孩子能更专注地投入到某一个活动，充分自信地探索问题，满足不同孩子的发展需要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20" w:lineRule="exact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四、生活化的活动聚焦幼儿的主动学习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随着“我是大班哥哥姐姐”主题活动的开展，孩子们产生了很多感慨，婧婧说：“时间过得真快呀，我都读大班啦”！佳佳说：“我昨天刚过生日，过完生日我7岁了呢”！妞妞说：“不到一年的时间我就要上小学啦”.....孩子都在说时间，感慨时间过得快，纷纷述说有关时间的认知和经验。我们与幼儿一起交流讨论，梳理他们的已有经验和共同兴趣，全面分析班级现有资源，生成班本活动“你好,时间”，并进行分级审议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352425</wp:posOffset>
            </wp:positionH>
            <wp:positionV relativeFrom="page">
              <wp:posOffset>4761230</wp:posOffset>
            </wp:positionV>
            <wp:extent cx="4756150" cy="1059815"/>
            <wp:effectExtent l="0" t="0" r="6350" b="6985"/>
            <wp:wrapNone/>
            <wp:docPr id="1" name="图片 2" descr="C:\Users\admin\Desktop\微信图片_20191107162059.jpg微信图片_20191107162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C:\Users\admin\Desktop\微信图片_20191107162059.jpg微信图片_20191107162059"/>
                    <pic:cNvPicPr>
                      <a:picLocks noChangeAspect="1"/>
                    </pic:cNvPicPr>
                  </pic:nvPicPr>
                  <pic:blipFill>
                    <a:blip r:embed="rId8"/>
                    <a:srcRect t="5583" r="2538" b="7730"/>
                    <a:stretch>
                      <a:fillRect/>
                    </a:stretch>
                  </pic:blipFill>
                  <pic:spPr>
                    <a:xfrm>
                      <a:off x="0" y="0"/>
                      <a:ext cx="4756150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-170180</wp:posOffset>
            </wp:positionH>
            <wp:positionV relativeFrom="paragraph">
              <wp:posOffset>24765</wp:posOffset>
            </wp:positionV>
            <wp:extent cx="6153785" cy="4070985"/>
            <wp:effectExtent l="0" t="0" r="18415" b="5715"/>
            <wp:wrapNone/>
            <wp:docPr id="2" name="图片 2" descr="I_C%87~4YTF[6@346DIF8%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_C%87~4YTF[6@346DIF8%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3785" cy="407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随着班本课程《你好，时间》活动的开展，孩子对时钟产生了浓厚的兴趣。在观察、认识时钟的过程中，孩子们对整点与半点有了初步的认知，区域活动时他们尝试着把时间与自己的晚间活动联系起来，制定晚间计划。在此基础上，他们还想制定时间跨度更大的周末一天的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《指南》中指出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大班幼儿需要有规律的生活和良好的作息习惯。要合理安排一天的作息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就会涉及许多相关的时间经验,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这些</w:t>
      </w:r>
      <w:r>
        <w:rPr>
          <w:rFonts w:hint="eastAsia" w:ascii="宋体" w:hAnsi="宋体" w:eastAsia="宋体" w:cs="宋体"/>
          <w:sz w:val="24"/>
          <w:szCs w:val="24"/>
        </w:rPr>
        <w:t>时间经验不仅仅是对整点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、半点</w:t>
      </w:r>
      <w:r>
        <w:rPr>
          <w:rFonts w:hint="eastAsia" w:ascii="宋体" w:hAnsi="宋体" w:eastAsia="宋体" w:cs="宋体"/>
          <w:sz w:val="24"/>
          <w:szCs w:val="24"/>
        </w:rPr>
        <w:t>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认知，还</w:t>
      </w:r>
      <w:r>
        <w:rPr>
          <w:rFonts w:hint="eastAsia" w:ascii="宋体" w:hAnsi="宋体" w:eastAsia="宋体" w:cs="宋体"/>
          <w:sz w:val="24"/>
          <w:szCs w:val="24"/>
        </w:rPr>
        <w:t>要了解时间在生活中的作用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知道合理安排时间、节约时间的重要性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，这对孩子们来说有一定的挑战和难度。为让幼儿进一步感知时间与生活的关系，结合生活丰富他们对整点、半点的认知，区域活动时能顺利制定周末一天的活动计划，我们生成设计了这一集体教学活动，</w:t>
      </w:r>
      <w:r>
        <w:rPr>
          <w:rFonts w:hint="eastAsia" w:ascii="宋体" w:hAnsi="宋体" w:eastAsia="宋体" w:cs="宋体"/>
          <w:sz w:val="24"/>
          <w:szCs w:val="24"/>
        </w:rPr>
        <w:t>借助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本班幼儿浩浩周末一天的作息安排来引发幼儿</w:t>
      </w:r>
      <w:r>
        <w:rPr>
          <w:rFonts w:hint="eastAsia" w:ascii="宋体" w:hAnsi="宋体" w:eastAsia="宋体" w:cs="宋体"/>
          <w:sz w:val="24"/>
          <w:szCs w:val="24"/>
        </w:rPr>
        <w:t>对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合理安排时间的思考，并逐步延伸到尝试安排自己周末一天的活动。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经验提升：我们知道生活化是数学活动的核心。“生活教育”理论主张幼儿教育应同实际生活相联系，不能脱离生活。《指南》强调要让幼儿在生活和游戏中学习数学，让他们关注日常生活中的数学。幼儿园数学活动要源于生活，实践于生活，应用于生活。而生活化的课程设计是开展幼儿园数学教育的核心。课程设计要从课程理念、目标、内容、组织与实施、环境创设等方面进行系统、整体的构思，以主题活动为主线，将集体活动、区域活动、环境创设及家园合作等进行一体化设计，将数学教育渗透在一日生活中。以数学领域的核心经验为抓手，基于生活经验生成数学活动。一日生活中，教师要观察并及时捕捉幼儿感兴趣的数学问题，探索生活中与之相关的数学元素，将数学问题生成为课程内容，转化为数学活动。生活化的数学活动让我们看到孩子不断自主探究、自我学习、与同伴相互合作，共同成长的过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20" w:lineRule="exact"/>
        <w:ind w:firstLine="482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五、让“自主”成为孩子主动学习的新模式。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儿童“自主”能力的培养应该是孩子、家庭、幼儿园、学校四位一体的共同努力。我们应该关注孩子的坚持，自我控制，注意，规划能力，情绪发展，与同伴的社会互动等。根据孩子的兴趣，让孩子在环境中、生活中、游戏中得到发展。积极鼓励孩子的自主探索和创新精神。然而培养孩子的好奇心,求知欲和最初的创造意识是幼儿进行自主探索和创新的重要途径,提供给幼儿可持续探索的环境、材料、学习氛围。因此，自主性对儿童未来的发展十分重要，让“自主”成为孩子学习的新模式，让孩子的成长看得见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26529"/>
    <w:multiLevelType w:val="singleLevel"/>
    <w:tmpl w:val="3CC26529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2E13884"/>
    <w:multiLevelType w:val="singleLevel"/>
    <w:tmpl w:val="52E1388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10C01"/>
    <w:rsid w:val="0B5E3807"/>
    <w:rsid w:val="0BA319C9"/>
    <w:rsid w:val="15887472"/>
    <w:rsid w:val="187B3211"/>
    <w:rsid w:val="18F82318"/>
    <w:rsid w:val="19B363EB"/>
    <w:rsid w:val="1B9B090D"/>
    <w:rsid w:val="1CCF7BC6"/>
    <w:rsid w:val="1DBC2B8F"/>
    <w:rsid w:val="253F64A9"/>
    <w:rsid w:val="2D9D4EDE"/>
    <w:rsid w:val="321B0C65"/>
    <w:rsid w:val="39BE0235"/>
    <w:rsid w:val="41522269"/>
    <w:rsid w:val="55FC7C9A"/>
    <w:rsid w:val="584E5B5F"/>
    <w:rsid w:val="645B5971"/>
    <w:rsid w:val="708025FC"/>
    <w:rsid w:val="724E431F"/>
    <w:rsid w:val="74F71726"/>
    <w:rsid w:val="7B0101F8"/>
    <w:rsid w:val="7C356AD2"/>
    <w:rsid w:val="7F0E5D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2014-11-01T04:08:00Z</dcterms:created>
  <dc:creator>123</dc:creator>
  <cp:lastModifiedBy>admin</cp:lastModifiedBy>
  <dcterms:modified xsi:type="dcterms:W3CDTF">2019-12-05T05:44:40Z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